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73A9" w14:textId="197E07B3" w:rsidR="00D14BC4" w:rsidRPr="00725B07" w:rsidRDefault="00D14BC4" w:rsidP="00D14BC4">
      <w:pPr>
        <w:pStyle w:val="Default"/>
        <w:jc w:val="center"/>
        <w:rPr>
          <w:rFonts w:ascii="Century Schoolbook" w:hAnsi="Century Schoolbook"/>
          <w:sz w:val="22"/>
          <w:szCs w:val="22"/>
        </w:rPr>
      </w:pPr>
      <w:r w:rsidRPr="00725B07">
        <w:rPr>
          <w:rFonts w:ascii="Century Schoolbook" w:hAnsi="Century Schoolbook"/>
          <w:sz w:val="22"/>
          <w:szCs w:val="22"/>
        </w:rPr>
        <w:t xml:space="preserve">HB </w:t>
      </w:r>
      <w:r w:rsidR="002A2817" w:rsidRPr="00725B07">
        <w:rPr>
          <w:rFonts w:ascii="Century Schoolbook" w:hAnsi="Century Schoolbook"/>
          <w:sz w:val="22"/>
          <w:szCs w:val="22"/>
        </w:rPr>
        <w:t>___________</w:t>
      </w:r>
      <w:r w:rsidRPr="00725B07">
        <w:rPr>
          <w:rFonts w:ascii="Century Schoolbook" w:hAnsi="Century Schoolbook"/>
          <w:sz w:val="22"/>
          <w:szCs w:val="22"/>
        </w:rPr>
        <w:t xml:space="preserve"> - AS </w:t>
      </w:r>
      <w:r w:rsidR="00DA7B82" w:rsidRPr="00725B07">
        <w:rPr>
          <w:rFonts w:ascii="Century Schoolbook" w:hAnsi="Century Schoolbook"/>
          <w:sz w:val="22"/>
          <w:szCs w:val="22"/>
        </w:rPr>
        <w:t>AMENDED</w:t>
      </w:r>
    </w:p>
    <w:p w14:paraId="063EF596" w14:textId="77777777" w:rsidR="00D14BC4" w:rsidRPr="00725B07" w:rsidRDefault="00D14BC4" w:rsidP="00D14BC4">
      <w:pPr>
        <w:pStyle w:val="Default"/>
        <w:rPr>
          <w:rFonts w:ascii="Century Schoolbook" w:hAnsi="Century Schoolbook"/>
          <w:color w:val="auto"/>
          <w:sz w:val="22"/>
          <w:szCs w:val="22"/>
        </w:rPr>
      </w:pPr>
    </w:p>
    <w:p w14:paraId="38603124" w14:textId="12FA0CC9"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 HOUSE BILL </w:t>
      </w:r>
      <w:r w:rsidR="002A2817" w:rsidRPr="00725B07">
        <w:rPr>
          <w:rFonts w:ascii="Century Schoolbook" w:hAnsi="Century Schoolbook"/>
          <w:color w:val="auto"/>
          <w:sz w:val="22"/>
          <w:szCs w:val="22"/>
        </w:rPr>
        <w:t>_____________</w:t>
      </w:r>
    </w:p>
    <w:p w14:paraId="5D4A0E04" w14:textId="77777777" w:rsidR="00D14BC4" w:rsidRPr="00725B07" w:rsidRDefault="00D14BC4" w:rsidP="00D14BC4">
      <w:pPr>
        <w:pStyle w:val="Default"/>
        <w:rPr>
          <w:rFonts w:ascii="Century Schoolbook" w:hAnsi="Century Schoolbook"/>
          <w:color w:val="auto"/>
          <w:sz w:val="22"/>
          <w:szCs w:val="22"/>
        </w:rPr>
      </w:pPr>
    </w:p>
    <w:p w14:paraId="7D08846B" w14:textId="505FB6FC" w:rsidR="00D14BC4" w:rsidRPr="00725B07" w:rsidRDefault="00D14BC4" w:rsidP="00D14BC4">
      <w:pPr>
        <w:pStyle w:val="Default"/>
        <w:jc w:val="center"/>
        <w:rPr>
          <w:rFonts w:ascii="Century Schoolbook" w:hAnsi="Century Schoolbook"/>
          <w:color w:val="auto"/>
          <w:sz w:val="22"/>
          <w:szCs w:val="22"/>
        </w:rPr>
      </w:pPr>
      <w:r w:rsidRPr="00725B07">
        <w:rPr>
          <w:rFonts w:ascii="Century Schoolbook" w:hAnsi="Century Schoolbook"/>
          <w:color w:val="auto"/>
          <w:sz w:val="22"/>
          <w:szCs w:val="22"/>
        </w:rPr>
        <w:t xml:space="preserve">STATE OF </w:t>
      </w:r>
      <w:r w:rsidR="00F57051" w:rsidRPr="00725B07">
        <w:rPr>
          <w:rFonts w:ascii="Century Schoolbook" w:hAnsi="Century Schoolbook"/>
          <w:color w:val="auto"/>
          <w:sz w:val="22"/>
          <w:szCs w:val="22"/>
        </w:rPr>
        <w:t>____________</w:t>
      </w:r>
    </w:p>
    <w:p w14:paraId="4ACCFC53" w14:textId="77777777" w:rsidR="00D14BC4" w:rsidRPr="00725B07" w:rsidRDefault="00D14BC4" w:rsidP="00D14BC4">
      <w:pPr>
        <w:pStyle w:val="Default"/>
        <w:jc w:val="center"/>
        <w:rPr>
          <w:rFonts w:ascii="Century Schoolbook" w:hAnsi="Century Schoolbook"/>
          <w:color w:val="auto"/>
          <w:sz w:val="22"/>
          <w:szCs w:val="22"/>
        </w:rPr>
      </w:pPr>
    </w:p>
    <w:p w14:paraId="699EEEB3" w14:textId="77777777" w:rsidR="004A51C5" w:rsidRPr="00725B07" w:rsidRDefault="004A51C5" w:rsidP="00D14BC4">
      <w:pPr>
        <w:pStyle w:val="Default"/>
        <w:jc w:val="center"/>
        <w:rPr>
          <w:rFonts w:ascii="Century Schoolbook" w:hAnsi="Century Schoolbook"/>
          <w:color w:val="auto"/>
          <w:sz w:val="22"/>
          <w:szCs w:val="22"/>
        </w:rPr>
      </w:pPr>
    </w:p>
    <w:p w14:paraId="184C184D" w14:textId="32736E4C" w:rsidR="004A51C5" w:rsidRPr="00725B07" w:rsidRDefault="004A51C5" w:rsidP="00D14BC4">
      <w:pPr>
        <w:pStyle w:val="Default"/>
        <w:jc w:val="center"/>
        <w:rPr>
          <w:rFonts w:ascii="Century Schoolbook" w:hAnsi="Century Schoolbook"/>
          <w:color w:val="auto"/>
          <w:sz w:val="22"/>
          <w:szCs w:val="22"/>
        </w:rPr>
      </w:pPr>
      <w:r w:rsidRPr="00725B07">
        <w:rPr>
          <w:rFonts w:ascii="Century Schoolbook" w:hAnsi="Century Schoolbook"/>
          <w:color w:val="auto"/>
          <w:sz w:val="22"/>
          <w:szCs w:val="22"/>
        </w:rPr>
        <w:t>SURVEY ALL VULNERABLE ELECTRIC</w:t>
      </w:r>
      <w:r w:rsidR="005A64C3">
        <w:rPr>
          <w:rFonts w:ascii="Century Schoolbook" w:hAnsi="Century Schoolbook"/>
          <w:color w:val="auto"/>
          <w:sz w:val="22"/>
          <w:szCs w:val="22"/>
        </w:rPr>
        <w:t xml:space="preserve"> [S.A.V.E.]</w:t>
      </w:r>
      <w:r w:rsidRPr="00725B07">
        <w:rPr>
          <w:rFonts w:ascii="Century Schoolbook" w:hAnsi="Century Schoolbook"/>
          <w:color w:val="auto"/>
          <w:sz w:val="22"/>
          <w:szCs w:val="22"/>
        </w:rPr>
        <w:t xml:space="preserve"> TRANSFORMERS ACT</w:t>
      </w:r>
    </w:p>
    <w:p w14:paraId="44388DD3" w14:textId="77777777" w:rsidR="004A51C5" w:rsidRPr="00725B07" w:rsidRDefault="004A51C5" w:rsidP="00D14BC4">
      <w:pPr>
        <w:pStyle w:val="Default"/>
        <w:rPr>
          <w:rFonts w:ascii="Century Schoolbook" w:hAnsi="Century Schoolbook"/>
          <w:color w:val="auto"/>
          <w:sz w:val="22"/>
          <w:szCs w:val="22"/>
        </w:rPr>
      </w:pPr>
    </w:p>
    <w:p w14:paraId="34F8D4F2" w14:textId="4BB2472C"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AN ACT </w:t>
      </w:r>
      <w:proofErr w:type="gramStart"/>
      <w:r w:rsidRPr="00725B07">
        <w:rPr>
          <w:rFonts w:ascii="Century Schoolbook" w:hAnsi="Century Schoolbook"/>
          <w:color w:val="auto"/>
          <w:sz w:val="22"/>
          <w:szCs w:val="22"/>
        </w:rPr>
        <w:t>requiring</w:t>
      </w:r>
      <w:proofErr w:type="gramEnd"/>
      <w:r w:rsidRPr="00725B07">
        <w:rPr>
          <w:rFonts w:ascii="Century Schoolbook" w:hAnsi="Century Schoolbook"/>
          <w:color w:val="auto"/>
          <w:sz w:val="22"/>
          <w:szCs w:val="22"/>
        </w:rPr>
        <w:t xml:space="preserve"> utilities and electric grid operators to assess and report the vulnerability of high-voltage transformers to ground induced currents (GIC) </w:t>
      </w:r>
      <w:r w:rsidR="00DF1141">
        <w:rPr>
          <w:rFonts w:ascii="Century Schoolbook" w:hAnsi="Century Schoolbook"/>
          <w:color w:val="auto"/>
          <w:sz w:val="22"/>
          <w:szCs w:val="22"/>
        </w:rPr>
        <w:t>and to provide</w:t>
      </w:r>
      <w:r w:rsidR="00A96D4D">
        <w:rPr>
          <w:rFonts w:ascii="Century Schoolbook" w:hAnsi="Century Schoolbook"/>
          <w:color w:val="auto"/>
          <w:sz w:val="22"/>
          <w:szCs w:val="22"/>
        </w:rPr>
        <w:t xml:space="preserve"> funding </w:t>
      </w:r>
      <w:r w:rsidR="00167216">
        <w:rPr>
          <w:rFonts w:ascii="Century Schoolbook" w:hAnsi="Century Schoolbook"/>
          <w:color w:val="auto"/>
          <w:sz w:val="22"/>
          <w:szCs w:val="22"/>
        </w:rPr>
        <w:t xml:space="preserve">recommendations </w:t>
      </w:r>
      <w:r w:rsidR="00A96D4D">
        <w:rPr>
          <w:rFonts w:ascii="Century Schoolbook" w:hAnsi="Century Schoolbook"/>
          <w:color w:val="auto"/>
          <w:sz w:val="22"/>
          <w:szCs w:val="22"/>
        </w:rPr>
        <w:t>and</w:t>
      </w:r>
      <w:r w:rsidR="00167216">
        <w:rPr>
          <w:rFonts w:ascii="Century Schoolbook" w:hAnsi="Century Schoolbook"/>
          <w:color w:val="auto"/>
          <w:sz w:val="22"/>
          <w:szCs w:val="22"/>
        </w:rPr>
        <w:t xml:space="preserve"> suggested</w:t>
      </w:r>
      <w:r w:rsidR="00DF1141">
        <w:rPr>
          <w:rFonts w:ascii="Century Schoolbook" w:hAnsi="Century Schoolbook"/>
          <w:color w:val="auto"/>
          <w:sz w:val="22"/>
          <w:szCs w:val="22"/>
        </w:rPr>
        <w:t xml:space="preserve"> financial incentives to </w:t>
      </w:r>
      <w:r w:rsidR="00AC2EDB">
        <w:rPr>
          <w:rFonts w:ascii="Century Schoolbook" w:hAnsi="Century Schoolbook"/>
          <w:color w:val="auto"/>
          <w:sz w:val="22"/>
          <w:szCs w:val="22"/>
        </w:rPr>
        <w:t xml:space="preserve">enable them to </w:t>
      </w:r>
      <w:r w:rsidR="00DF1141">
        <w:rPr>
          <w:rFonts w:ascii="Century Schoolbook" w:hAnsi="Century Schoolbook"/>
          <w:color w:val="auto"/>
          <w:sz w:val="22"/>
          <w:szCs w:val="22"/>
        </w:rPr>
        <w:t>protect</w:t>
      </w:r>
      <w:r w:rsidR="00A96D4D">
        <w:rPr>
          <w:rFonts w:ascii="Century Schoolbook" w:hAnsi="Century Schoolbook"/>
          <w:color w:val="auto"/>
          <w:sz w:val="22"/>
          <w:szCs w:val="22"/>
        </w:rPr>
        <w:t xml:space="preserve"> their vulnerable</w:t>
      </w:r>
      <w:r w:rsidR="00DF1141">
        <w:rPr>
          <w:rFonts w:ascii="Century Schoolbook" w:hAnsi="Century Schoolbook"/>
          <w:color w:val="auto"/>
          <w:sz w:val="22"/>
          <w:szCs w:val="22"/>
        </w:rPr>
        <w:t xml:space="preserve"> transformers from GIC</w:t>
      </w:r>
      <w:r w:rsidR="00A66157">
        <w:rPr>
          <w:rFonts w:ascii="Century Schoolbook" w:hAnsi="Century Schoolbook"/>
          <w:color w:val="auto"/>
          <w:sz w:val="22"/>
          <w:szCs w:val="22"/>
        </w:rPr>
        <w:t>.</w:t>
      </w:r>
    </w:p>
    <w:p w14:paraId="490E04C1" w14:textId="77777777" w:rsidR="00D14BC4" w:rsidRPr="00725B07" w:rsidRDefault="00D14BC4" w:rsidP="00D14BC4">
      <w:pPr>
        <w:pStyle w:val="Default"/>
        <w:rPr>
          <w:rFonts w:ascii="Century Schoolbook" w:hAnsi="Century Schoolbook"/>
          <w:color w:val="auto"/>
          <w:sz w:val="22"/>
          <w:szCs w:val="22"/>
        </w:rPr>
      </w:pPr>
    </w:p>
    <w:p w14:paraId="39D94CD6" w14:textId="77777777" w:rsidR="00D14BC4" w:rsidRPr="00725B07" w:rsidRDefault="00D14BC4" w:rsidP="00D14BC4">
      <w:pPr>
        <w:pStyle w:val="Default"/>
        <w:rPr>
          <w:rFonts w:ascii="Century Schoolbook" w:hAnsi="Century Schoolbook"/>
          <w:color w:val="auto"/>
          <w:sz w:val="22"/>
          <w:szCs w:val="22"/>
        </w:rPr>
      </w:pPr>
    </w:p>
    <w:p w14:paraId="606576B8" w14:textId="02FBCA3A"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BE IT ENACTED BY</w:t>
      </w:r>
      <w:r w:rsidR="00DA7B82" w:rsidRPr="00725B07">
        <w:rPr>
          <w:rFonts w:ascii="Century Schoolbook" w:hAnsi="Century Schoolbook"/>
          <w:color w:val="auto"/>
          <w:sz w:val="22"/>
          <w:szCs w:val="22"/>
        </w:rPr>
        <w:t xml:space="preserve"> THE STATE </w:t>
      </w:r>
      <w:proofErr w:type="gramStart"/>
      <w:r w:rsidR="00DA7B82" w:rsidRPr="00725B07">
        <w:rPr>
          <w:rFonts w:ascii="Century Schoolbook" w:hAnsi="Century Schoolbook"/>
          <w:color w:val="auto"/>
          <w:sz w:val="22"/>
          <w:szCs w:val="22"/>
        </w:rPr>
        <w:t>OF</w:t>
      </w:r>
      <w:r w:rsidR="002A2817" w:rsidRPr="00725B07">
        <w:rPr>
          <w:rFonts w:ascii="Century Schoolbook" w:hAnsi="Century Schoolbook"/>
          <w:color w:val="auto"/>
          <w:sz w:val="22"/>
          <w:szCs w:val="22"/>
        </w:rPr>
        <w:t xml:space="preserve"> </w:t>
      </w:r>
      <w:r w:rsidR="00F57051" w:rsidRPr="00725B07">
        <w:rPr>
          <w:rFonts w:ascii="Century Schoolbook" w:hAnsi="Century Schoolbook"/>
          <w:color w:val="auto"/>
          <w:sz w:val="22"/>
          <w:szCs w:val="22"/>
        </w:rPr>
        <w:t>__</w:t>
      </w:r>
      <w:proofErr w:type="gramEnd"/>
      <w:r w:rsidR="00F57051" w:rsidRPr="00725B07">
        <w:rPr>
          <w:rFonts w:ascii="Century Schoolbook" w:hAnsi="Century Schoolbook"/>
          <w:color w:val="auto"/>
          <w:sz w:val="22"/>
          <w:szCs w:val="22"/>
        </w:rPr>
        <w:t>_________</w:t>
      </w:r>
      <w:r w:rsidRPr="00725B07">
        <w:rPr>
          <w:rFonts w:ascii="Century Schoolbook" w:hAnsi="Century Schoolbook"/>
          <w:color w:val="auto"/>
          <w:sz w:val="22"/>
          <w:szCs w:val="22"/>
        </w:rPr>
        <w:t>:</w:t>
      </w:r>
    </w:p>
    <w:p w14:paraId="1FECF077" w14:textId="77777777" w:rsidR="00D14BC4" w:rsidRPr="00725B07" w:rsidRDefault="00D14BC4" w:rsidP="00D14BC4">
      <w:pPr>
        <w:pStyle w:val="Default"/>
        <w:rPr>
          <w:rFonts w:ascii="Century Schoolbook" w:hAnsi="Century Schoolbook"/>
          <w:color w:val="auto"/>
          <w:sz w:val="22"/>
          <w:szCs w:val="22"/>
        </w:rPr>
      </w:pPr>
    </w:p>
    <w:p w14:paraId="5FD1CBE3"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SECTION 1. Findings.</w:t>
      </w:r>
    </w:p>
    <w:p w14:paraId="0E87A852" w14:textId="6797FE88" w:rsidR="00D14BC4" w:rsidRPr="00725B07" w:rsidRDefault="00D14BC4" w:rsidP="00D14BC4">
      <w:pPr>
        <w:pStyle w:val="csf0a1d375"/>
        <w:shd w:val="clear" w:color="auto" w:fill="FFFFFF"/>
        <w:spacing w:before="0" w:beforeAutospacing="0" w:after="0" w:afterAutospacing="0"/>
        <w:jc w:val="both"/>
        <w:rPr>
          <w:rFonts w:ascii="Century Schoolbook" w:hAnsi="Century Schoolbook"/>
          <w:color w:val="212529"/>
          <w:sz w:val="22"/>
          <w:szCs w:val="22"/>
        </w:rPr>
      </w:pPr>
      <w:r w:rsidRPr="00725B07">
        <w:rPr>
          <w:rStyle w:val="csdd5e5f52"/>
          <w:rFonts w:ascii="Century Schoolbook" w:eastAsiaTheme="majorEastAsia" w:hAnsi="Century Schoolbook"/>
          <w:color w:val="000000"/>
          <w:sz w:val="22"/>
          <w:szCs w:val="22"/>
        </w:rPr>
        <w:t xml:space="preserve">I. America’s electric grid is critical to modern life and faces existential threats from </w:t>
      </w:r>
      <w:r w:rsidR="0063431F" w:rsidRPr="00725B07">
        <w:rPr>
          <w:rStyle w:val="csdd5e5f52"/>
          <w:rFonts w:ascii="Century Schoolbook" w:eastAsiaTheme="majorEastAsia" w:hAnsi="Century Schoolbook"/>
          <w:color w:val="000000"/>
          <w:sz w:val="22"/>
          <w:szCs w:val="22"/>
        </w:rPr>
        <w:t xml:space="preserve">ground induced currents, also known as geomagnetically induced currents—GICs—induced by </w:t>
      </w:r>
      <w:r w:rsidRPr="00725B07">
        <w:rPr>
          <w:rStyle w:val="csdd5e5f52"/>
          <w:rFonts w:ascii="Century Schoolbook" w:eastAsiaTheme="majorEastAsia" w:hAnsi="Century Schoolbook"/>
          <w:color w:val="000000"/>
          <w:sz w:val="22"/>
          <w:szCs w:val="22"/>
        </w:rPr>
        <w:t>solar weather</w:t>
      </w:r>
      <w:r w:rsidR="001C4C33" w:rsidRPr="00725B07">
        <w:rPr>
          <w:rStyle w:val="csdd5e5f52"/>
          <w:rFonts w:ascii="Century Schoolbook" w:eastAsiaTheme="majorEastAsia" w:hAnsi="Century Schoolbook"/>
          <w:color w:val="000000"/>
          <w:sz w:val="22"/>
          <w:szCs w:val="22"/>
        </w:rPr>
        <w:t xml:space="preserve"> events (coronal mass ejections—CMEs), </w:t>
      </w:r>
      <w:r w:rsidRPr="00725B07">
        <w:rPr>
          <w:rStyle w:val="csdd5e5f52"/>
          <w:rFonts w:ascii="Century Schoolbook" w:eastAsiaTheme="majorEastAsia" w:hAnsi="Century Schoolbook"/>
          <w:color w:val="000000"/>
          <w:sz w:val="22"/>
          <w:szCs w:val="22"/>
        </w:rPr>
        <w:t xml:space="preserve">geomagnetic disturbances—GMDs, </w:t>
      </w:r>
      <w:r w:rsidR="0063431F" w:rsidRPr="00725B07">
        <w:rPr>
          <w:rStyle w:val="csdd5e5f52"/>
          <w:rFonts w:ascii="Century Schoolbook" w:eastAsiaTheme="majorEastAsia" w:hAnsi="Century Schoolbook"/>
          <w:color w:val="000000"/>
          <w:sz w:val="22"/>
          <w:szCs w:val="22"/>
        </w:rPr>
        <w:t>and</w:t>
      </w:r>
      <w:r w:rsidRPr="00725B07">
        <w:rPr>
          <w:rStyle w:val="csdd5e5f52"/>
          <w:rFonts w:ascii="Century Schoolbook" w:eastAsiaTheme="majorEastAsia" w:hAnsi="Century Schoolbook"/>
          <w:color w:val="000000"/>
          <w:sz w:val="22"/>
          <w:szCs w:val="22"/>
        </w:rPr>
        <w:t xml:space="preserve"> </w:t>
      </w:r>
      <w:r w:rsidR="0063431F" w:rsidRPr="00725B07">
        <w:rPr>
          <w:rStyle w:val="csdd5e5f52"/>
          <w:rFonts w:ascii="Century Schoolbook" w:eastAsiaTheme="majorEastAsia" w:hAnsi="Century Schoolbook"/>
          <w:color w:val="000000"/>
          <w:sz w:val="22"/>
          <w:szCs w:val="22"/>
        </w:rPr>
        <w:t xml:space="preserve">the late-time portion of </w:t>
      </w:r>
      <w:r w:rsidRPr="00725B07">
        <w:rPr>
          <w:rStyle w:val="csdd5e5f52"/>
          <w:rFonts w:ascii="Century Schoolbook" w:eastAsiaTheme="majorEastAsia" w:hAnsi="Century Schoolbook"/>
          <w:color w:val="000000"/>
          <w:sz w:val="22"/>
          <w:szCs w:val="22"/>
        </w:rPr>
        <w:t>high-altitude nuclear electromagnetic pulse—</w:t>
      </w:r>
      <w:r w:rsidR="0063431F" w:rsidRPr="00725B07">
        <w:rPr>
          <w:rStyle w:val="csdd5e5f52"/>
          <w:rFonts w:ascii="Century Schoolbook" w:eastAsiaTheme="majorEastAsia" w:hAnsi="Century Schoolbook"/>
          <w:color w:val="000000"/>
          <w:sz w:val="22"/>
          <w:szCs w:val="22"/>
        </w:rPr>
        <w:t xml:space="preserve">E3 </w:t>
      </w:r>
      <w:r w:rsidRPr="00725B07">
        <w:rPr>
          <w:rStyle w:val="csdd5e5f52"/>
          <w:rFonts w:ascii="Century Schoolbook" w:eastAsiaTheme="majorEastAsia" w:hAnsi="Century Schoolbook"/>
          <w:color w:val="000000"/>
          <w:sz w:val="22"/>
          <w:szCs w:val="22"/>
        </w:rPr>
        <w:t>HEMP, all capable of disabling electric power systems.  </w:t>
      </w:r>
    </w:p>
    <w:p w14:paraId="05511800" w14:textId="1EA55E04" w:rsidR="00D14BC4" w:rsidRPr="00725B07" w:rsidRDefault="00D14BC4" w:rsidP="00D14BC4">
      <w:pPr>
        <w:pStyle w:val="csf0a1d375"/>
        <w:shd w:val="clear" w:color="auto" w:fill="FFFFFF"/>
        <w:spacing w:before="0" w:beforeAutospacing="0" w:after="0" w:afterAutospacing="0"/>
        <w:jc w:val="both"/>
        <w:rPr>
          <w:rFonts w:ascii="Century Schoolbook" w:hAnsi="Century Schoolbook"/>
          <w:color w:val="212529"/>
          <w:sz w:val="22"/>
          <w:szCs w:val="22"/>
        </w:rPr>
      </w:pPr>
      <w:r w:rsidRPr="00725B07">
        <w:rPr>
          <w:rStyle w:val="csdd5e5f52"/>
          <w:rFonts w:ascii="Century Schoolbook" w:eastAsiaTheme="majorEastAsia" w:hAnsi="Century Schoolbook"/>
          <w:color w:val="000000"/>
          <w:sz w:val="22"/>
          <w:szCs w:val="22"/>
        </w:rPr>
        <w:t xml:space="preserve">II. </w:t>
      </w:r>
      <w:r w:rsidR="0063431F" w:rsidRPr="00725B07">
        <w:rPr>
          <w:rStyle w:val="csdd5e5f52"/>
          <w:rFonts w:ascii="Century Schoolbook" w:eastAsiaTheme="majorEastAsia" w:hAnsi="Century Schoolbook"/>
          <w:color w:val="000000"/>
          <w:sz w:val="22"/>
          <w:szCs w:val="22"/>
        </w:rPr>
        <w:t>GIC enters the electric grid from the Earth through ground-connected neutral wires of h</w:t>
      </w:r>
      <w:r w:rsidRPr="00725B07">
        <w:rPr>
          <w:rStyle w:val="csdd5e5f52"/>
          <w:rFonts w:ascii="Century Schoolbook" w:eastAsiaTheme="majorEastAsia" w:hAnsi="Century Schoolbook"/>
          <w:color w:val="000000"/>
          <w:sz w:val="22"/>
          <w:szCs w:val="22"/>
        </w:rPr>
        <w:t>igh voltage transformers</w:t>
      </w:r>
      <w:r w:rsidR="0063431F" w:rsidRPr="00725B07">
        <w:rPr>
          <w:rStyle w:val="csdd5e5f52"/>
          <w:rFonts w:ascii="Century Schoolbook" w:eastAsiaTheme="majorEastAsia" w:hAnsi="Century Schoolbook"/>
          <w:color w:val="000000"/>
          <w:sz w:val="22"/>
          <w:szCs w:val="22"/>
        </w:rPr>
        <w:t xml:space="preserve">. GIC causes the transformers </w:t>
      </w:r>
      <w:proofErr w:type="gramStart"/>
      <w:r w:rsidR="0063431F" w:rsidRPr="00725B07">
        <w:rPr>
          <w:rStyle w:val="csdd5e5f52"/>
          <w:rFonts w:ascii="Century Schoolbook" w:eastAsiaTheme="majorEastAsia" w:hAnsi="Century Schoolbook"/>
          <w:color w:val="000000"/>
          <w:sz w:val="22"/>
          <w:szCs w:val="22"/>
        </w:rPr>
        <w:t>to</w:t>
      </w:r>
      <w:proofErr w:type="gramEnd"/>
      <w:r w:rsidR="0063431F" w:rsidRPr="00725B07">
        <w:rPr>
          <w:rStyle w:val="csdd5e5f52"/>
          <w:rFonts w:ascii="Century Schoolbook" w:eastAsiaTheme="majorEastAsia" w:hAnsi="Century Schoolbook"/>
          <w:color w:val="000000"/>
          <w:sz w:val="22"/>
          <w:szCs w:val="22"/>
        </w:rPr>
        <w:t xml:space="preserve"> half-cycle saturate making them an active threat to the rest of the electric grid as they inject harmonic currents, consume reactive power and generate heat</w:t>
      </w:r>
      <w:r w:rsidRPr="00725B07">
        <w:rPr>
          <w:rStyle w:val="csdd5e5f52"/>
          <w:rFonts w:ascii="Century Schoolbook" w:eastAsiaTheme="majorEastAsia" w:hAnsi="Century Schoolbook"/>
          <w:color w:val="000000"/>
          <w:sz w:val="22"/>
          <w:szCs w:val="22"/>
        </w:rPr>
        <w:t>. </w:t>
      </w:r>
    </w:p>
    <w:p w14:paraId="45D44BEE" w14:textId="0ACD0D92" w:rsidR="00D14BC4" w:rsidRPr="00725B07" w:rsidRDefault="00D14BC4" w:rsidP="00D14BC4">
      <w:pPr>
        <w:pStyle w:val="csf0a1d375"/>
        <w:shd w:val="clear" w:color="auto" w:fill="FFFFFF"/>
        <w:spacing w:before="0" w:beforeAutospacing="0" w:after="0" w:afterAutospacing="0"/>
        <w:jc w:val="both"/>
        <w:rPr>
          <w:rFonts w:ascii="Century Schoolbook" w:hAnsi="Century Schoolbook"/>
          <w:color w:val="212529"/>
          <w:sz w:val="22"/>
          <w:szCs w:val="22"/>
        </w:rPr>
      </w:pPr>
      <w:r w:rsidRPr="00725B07">
        <w:rPr>
          <w:rStyle w:val="csdd5e5f52"/>
          <w:rFonts w:ascii="Century Schoolbook" w:eastAsiaTheme="majorEastAsia" w:hAnsi="Century Schoolbook"/>
          <w:color w:val="000000"/>
          <w:sz w:val="22"/>
          <w:szCs w:val="22"/>
        </w:rPr>
        <w:t xml:space="preserve">III. Extra High Voltage (EHV) transformers (345 kV–765 kV) are </w:t>
      </w:r>
      <w:r w:rsidR="0063431F" w:rsidRPr="00725B07">
        <w:rPr>
          <w:rStyle w:val="csdd5e5f52"/>
          <w:rFonts w:ascii="Century Schoolbook" w:eastAsiaTheme="majorEastAsia" w:hAnsi="Century Schoolbook"/>
          <w:color w:val="000000"/>
          <w:sz w:val="22"/>
          <w:szCs w:val="22"/>
        </w:rPr>
        <w:t xml:space="preserve">the </w:t>
      </w:r>
      <w:r w:rsidRPr="00725B07">
        <w:rPr>
          <w:rStyle w:val="csdd5e5f52"/>
          <w:rFonts w:ascii="Century Schoolbook" w:eastAsiaTheme="majorEastAsia" w:hAnsi="Century Schoolbook"/>
          <w:color w:val="000000"/>
          <w:sz w:val="22"/>
          <w:szCs w:val="22"/>
        </w:rPr>
        <w:t>most</w:t>
      </w:r>
      <w:r w:rsidR="0063431F" w:rsidRPr="00725B07">
        <w:rPr>
          <w:rStyle w:val="csdd5e5f52"/>
          <w:rFonts w:ascii="Century Schoolbook" w:eastAsiaTheme="majorEastAsia" w:hAnsi="Century Schoolbook"/>
          <w:color w:val="000000"/>
          <w:sz w:val="22"/>
          <w:szCs w:val="22"/>
        </w:rPr>
        <w:t xml:space="preserve"> </w:t>
      </w:r>
      <w:r w:rsidRPr="00725B07">
        <w:rPr>
          <w:rStyle w:val="csdd5e5f52"/>
          <w:rFonts w:ascii="Century Schoolbook" w:eastAsiaTheme="majorEastAsia" w:hAnsi="Century Schoolbook"/>
          <w:color w:val="000000"/>
          <w:sz w:val="22"/>
          <w:szCs w:val="22"/>
        </w:rPr>
        <w:t xml:space="preserve">vulnerable </w:t>
      </w:r>
      <w:r w:rsidR="0063431F" w:rsidRPr="00725B07">
        <w:rPr>
          <w:rStyle w:val="csdd5e5f52"/>
          <w:rFonts w:ascii="Century Schoolbook" w:eastAsiaTheme="majorEastAsia" w:hAnsi="Century Schoolbook"/>
          <w:color w:val="000000"/>
          <w:sz w:val="22"/>
          <w:szCs w:val="22"/>
        </w:rPr>
        <w:t>(</w:t>
      </w:r>
      <w:r w:rsidR="002A2817" w:rsidRPr="00725B07">
        <w:rPr>
          <w:rStyle w:val="csdd5e5f52"/>
          <w:rFonts w:ascii="Century Schoolbook" w:eastAsiaTheme="majorEastAsia" w:hAnsi="Century Schoolbook"/>
          <w:color w:val="000000"/>
          <w:sz w:val="22"/>
          <w:szCs w:val="22"/>
        </w:rPr>
        <w:t xml:space="preserve">i.e. </w:t>
      </w:r>
      <w:r w:rsidR="0063431F" w:rsidRPr="00725B07">
        <w:rPr>
          <w:rStyle w:val="csdd5e5f52"/>
          <w:rFonts w:ascii="Century Schoolbook" w:eastAsiaTheme="majorEastAsia" w:hAnsi="Century Schoolbook"/>
          <w:color w:val="000000"/>
          <w:sz w:val="22"/>
          <w:szCs w:val="22"/>
        </w:rPr>
        <w:t>half-cycle saturate with l</w:t>
      </w:r>
      <w:r w:rsidR="002A2817" w:rsidRPr="00725B07">
        <w:rPr>
          <w:rStyle w:val="csdd5e5f52"/>
          <w:rFonts w:ascii="Century Schoolbook" w:eastAsiaTheme="majorEastAsia" w:hAnsi="Century Schoolbook"/>
          <w:color w:val="000000"/>
          <w:sz w:val="22"/>
          <w:szCs w:val="22"/>
        </w:rPr>
        <w:t>ow</w:t>
      </w:r>
      <w:r w:rsidR="0063431F" w:rsidRPr="00725B07">
        <w:rPr>
          <w:rStyle w:val="csdd5e5f52"/>
          <w:rFonts w:ascii="Century Schoolbook" w:eastAsiaTheme="majorEastAsia" w:hAnsi="Century Schoolbook"/>
          <w:color w:val="000000"/>
          <w:sz w:val="22"/>
          <w:szCs w:val="22"/>
        </w:rPr>
        <w:t xml:space="preserve"> GIC) </w:t>
      </w:r>
      <w:r w:rsidRPr="00725B07">
        <w:rPr>
          <w:rStyle w:val="csdd5e5f52"/>
          <w:rFonts w:ascii="Century Schoolbook" w:eastAsiaTheme="majorEastAsia" w:hAnsi="Century Schoolbook"/>
          <w:color w:val="000000"/>
          <w:sz w:val="22"/>
          <w:szCs w:val="22"/>
        </w:rPr>
        <w:t xml:space="preserve">and </w:t>
      </w:r>
      <w:r w:rsidR="0063431F" w:rsidRPr="00725B07">
        <w:rPr>
          <w:rStyle w:val="csdd5e5f52"/>
          <w:rFonts w:ascii="Century Schoolbook" w:eastAsiaTheme="majorEastAsia" w:hAnsi="Century Schoolbook"/>
          <w:color w:val="000000"/>
          <w:sz w:val="22"/>
          <w:szCs w:val="22"/>
        </w:rPr>
        <w:t xml:space="preserve">are the most </w:t>
      </w:r>
      <w:r w:rsidRPr="00725B07">
        <w:rPr>
          <w:rStyle w:val="csdd5e5f52"/>
          <w:rFonts w:ascii="Century Schoolbook" w:eastAsiaTheme="majorEastAsia" w:hAnsi="Century Schoolbook"/>
          <w:color w:val="000000"/>
          <w:sz w:val="22"/>
          <w:szCs w:val="22"/>
        </w:rPr>
        <w:t>difficult to replace</w:t>
      </w:r>
      <w:r w:rsidR="0063431F" w:rsidRPr="00725B07">
        <w:rPr>
          <w:rStyle w:val="csdd5e5f52"/>
          <w:rFonts w:ascii="Century Schoolbook" w:eastAsiaTheme="majorEastAsia" w:hAnsi="Century Schoolbook"/>
          <w:color w:val="000000"/>
          <w:sz w:val="22"/>
          <w:szCs w:val="22"/>
        </w:rPr>
        <w:t xml:space="preserve">, </w:t>
      </w:r>
      <w:r w:rsidRPr="00725B07">
        <w:rPr>
          <w:rStyle w:val="csdd5e5f52"/>
          <w:rFonts w:ascii="Century Schoolbook" w:eastAsiaTheme="majorEastAsia" w:hAnsi="Century Schoolbook"/>
          <w:color w:val="000000"/>
          <w:sz w:val="22"/>
          <w:szCs w:val="22"/>
        </w:rPr>
        <w:t xml:space="preserve">with production lead times of 4–6 years.   </w:t>
      </w:r>
    </w:p>
    <w:p w14:paraId="342A4977" w14:textId="687D78E0" w:rsidR="00D14BC4" w:rsidRPr="00725B07" w:rsidRDefault="0063431F" w:rsidP="00D14BC4">
      <w:pPr>
        <w:pStyle w:val="csf0a1d375"/>
        <w:shd w:val="clear" w:color="auto" w:fill="FFFFFF"/>
        <w:spacing w:before="0" w:beforeAutospacing="0" w:after="0" w:afterAutospacing="0"/>
        <w:jc w:val="both"/>
        <w:rPr>
          <w:rStyle w:val="csdd5e5f52"/>
          <w:rFonts w:ascii="Century Schoolbook" w:hAnsi="Century Schoolbook"/>
          <w:color w:val="212529"/>
          <w:sz w:val="22"/>
          <w:szCs w:val="22"/>
        </w:rPr>
      </w:pPr>
      <w:r w:rsidRPr="00725B07">
        <w:rPr>
          <w:rStyle w:val="csdd5e5f52"/>
          <w:rFonts w:ascii="Century Schoolbook" w:eastAsiaTheme="majorEastAsia" w:hAnsi="Century Schoolbook"/>
          <w:color w:val="000000"/>
          <w:sz w:val="22"/>
          <w:szCs w:val="22"/>
        </w:rPr>
        <w:t>I</w:t>
      </w:r>
      <w:r w:rsidR="00D14BC4" w:rsidRPr="00725B07">
        <w:rPr>
          <w:rStyle w:val="csdd5e5f52"/>
          <w:rFonts w:ascii="Century Schoolbook" w:eastAsiaTheme="majorEastAsia" w:hAnsi="Century Schoolbook"/>
          <w:color w:val="000000"/>
          <w:sz w:val="22"/>
          <w:szCs w:val="22"/>
        </w:rPr>
        <w:t>V. Aging transformers are more susceptible to GIC due to degraded insulation, oil and coil condition.  </w:t>
      </w:r>
    </w:p>
    <w:p w14:paraId="7F809404" w14:textId="49147387" w:rsidR="0063431F" w:rsidRPr="00725B07" w:rsidRDefault="0063431F" w:rsidP="00D14BC4">
      <w:pPr>
        <w:pStyle w:val="csf0a1d375"/>
        <w:shd w:val="clear" w:color="auto" w:fill="FFFFFF"/>
        <w:spacing w:before="0" w:beforeAutospacing="0" w:after="0" w:afterAutospacing="0"/>
        <w:jc w:val="both"/>
        <w:rPr>
          <w:rStyle w:val="csdd5e5f52"/>
          <w:rFonts w:ascii="Century Schoolbook" w:eastAsiaTheme="majorEastAsia" w:hAnsi="Century Schoolbook"/>
          <w:color w:val="000000"/>
          <w:sz w:val="22"/>
          <w:szCs w:val="22"/>
        </w:rPr>
      </w:pPr>
      <w:r w:rsidRPr="00725B07">
        <w:rPr>
          <w:rStyle w:val="csdd5e5f52"/>
          <w:rFonts w:ascii="Century Schoolbook" w:eastAsiaTheme="majorEastAsia" w:hAnsi="Century Schoolbook"/>
          <w:color w:val="000000"/>
          <w:sz w:val="22"/>
          <w:szCs w:val="22"/>
        </w:rPr>
        <w:t>V. GIC magnitude</w:t>
      </w:r>
      <w:r w:rsidR="001C4C33" w:rsidRPr="00725B07">
        <w:rPr>
          <w:rStyle w:val="csdd5e5f52"/>
          <w:rFonts w:ascii="Century Schoolbook" w:eastAsiaTheme="majorEastAsia" w:hAnsi="Century Schoolbook"/>
          <w:color w:val="000000"/>
          <w:sz w:val="22"/>
          <w:szCs w:val="22"/>
        </w:rPr>
        <w:t>,</w:t>
      </w:r>
      <w:r w:rsidRPr="00725B07">
        <w:rPr>
          <w:rStyle w:val="csdd5e5f52"/>
          <w:rFonts w:ascii="Century Schoolbook" w:eastAsiaTheme="majorEastAsia" w:hAnsi="Century Schoolbook"/>
          <w:color w:val="000000"/>
          <w:sz w:val="22"/>
          <w:szCs w:val="22"/>
        </w:rPr>
        <w:t xml:space="preserve"> </w:t>
      </w:r>
      <w:r w:rsidR="002A2817" w:rsidRPr="00725B07">
        <w:rPr>
          <w:rStyle w:val="csdd5e5f52"/>
          <w:rFonts w:ascii="Century Schoolbook" w:eastAsiaTheme="majorEastAsia" w:hAnsi="Century Schoolbook"/>
          <w:color w:val="000000"/>
          <w:sz w:val="22"/>
          <w:szCs w:val="22"/>
        </w:rPr>
        <w:t xml:space="preserve">which is </w:t>
      </w:r>
      <w:r w:rsidRPr="00725B07">
        <w:rPr>
          <w:rStyle w:val="csdd5e5f52"/>
          <w:rFonts w:ascii="Century Schoolbook" w:eastAsiaTheme="majorEastAsia" w:hAnsi="Century Schoolbook"/>
          <w:color w:val="000000"/>
          <w:sz w:val="22"/>
          <w:szCs w:val="22"/>
        </w:rPr>
        <w:t>measured in amps</w:t>
      </w:r>
      <w:r w:rsidR="001C4C33" w:rsidRPr="00725B07">
        <w:rPr>
          <w:rStyle w:val="csdd5e5f52"/>
          <w:rFonts w:ascii="Century Schoolbook" w:eastAsiaTheme="majorEastAsia" w:hAnsi="Century Schoolbook"/>
          <w:color w:val="000000"/>
          <w:sz w:val="22"/>
          <w:szCs w:val="22"/>
        </w:rPr>
        <w:t>,</w:t>
      </w:r>
      <w:r w:rsidRPr="00725B07">
        <w:rPr>
          <w:rStyle w:val="csdd5e5f52"/>
          <w:rFonts w:ascii="Century Schoolbook" w:eastAsiaTheme="majorEastAsia" w:hAnsi="Century Schoolbook"/>
          <w:color w:val="000000"/>
          <w:sz w:val="22"/>
          <w:szCs w:val="22"/>
        </w:rPr>
        <w:t xml:space="preserve"> is linear and directly relate</w:t>
      </w:r>
      <w:r w:rsidR="001C4C33" w:rsidRPr="00725B07">
        <w:rPr>
          <w:rStyle w:val="csdd5e5f52"/>
          <w:rFonts w:ascii="Century Schoolbook" w:eastAsiaTheme="majorEastAsia" w:hAnsi="Century Schoolbook"/>
          <w:color w:val="000000"/>
          <w:sz w:val="22"/>
          <w:szCs w:val="22"/>
        </w:rPr>
        <w:t>s</w:t>
      </w:r>
      <w:r w:rsidRPr="00725B07">
        <w:rPr>
          <w:rStyle w:val="csdd5e5f52"/>
          <w:rFonts w:ascii="Century Schoolbook" w:eastAsiaTheme="majorEastAsia" w:hAnsi="Century Schoolbook"/>
          <w:color w:val="000000"/>
          <w:sz w:val="22"/>
          <w:szCs w:val="22"/>
        </w:rPr>
        <w:t xml:space="preserve"> to the electric field strength of a GMD or E3 HEMP event which is measured in volts per kilometer (V/km).  </w:t>
      </w:r>
    </w:p>
    <w:p w14:paraId="5CC748EF" w14:textId="1F482D9C" w:rsidR="002A2817" w:rsidRPr="00725B07" w:rsidRDefault="00D14BC4" w:rsidP="00D14BC4">
      <w:pPr>
        <w:pStyle w:val="csf0a1d375"/>
        <w:shd w:val="clear" w:color="auto" w:fill="FFFFFF"/>
        <w:spacing w:before="0" w:beforeAutospacing="0" w:after="0" w:afterAutospacing="0"/>
        <w:jc w:val="both"/>
        <w:rPr>
          <w:rStyle w:val="csdd5e5f52"/>
          <w:rFonts w:ascii="Century Schoolbook" w:eastAsiaTheme="majorEastAsia" w:hAnsi="Century Schoolbook"/>
          <w:color w:val="000000"/>
          <w:sz w:val="22"/>
          <w:szCs w:val="22"/>
        </w:rPr>
      </w:pPr>
      <w:r w:rsidRPr="00725B07">
        <w:rPr>
          <w:rStyle w:val="csdd5e5f52"/>
          <w:rFonts w:ascii="Century Schoolbook" w:eastAsiaTheme="majorEastAsia" w:hAnsi="Century Schoolbook"/>
          <w:color w:val="000000"/>
          <w:sz w:val="22"/>
          <w:szCs w:val="22"/>
        </w:rPr>
        <w:t xml:space="preserve">VI. </w:t>
      </w:r>
      <w:r w:rsidR="002A2817" w:rsidRPr="00725B07">
        <w:rPr>
          <w:rStyle w:val="csdd5e5f52"/>
          <w:rFonts w:ascii="Century Schoolbook" w:eastAsiaTheme="majorEastAsia" w:hAnsi="Century Schoolbook"/>
          <w:color w:val="000000"/>
          <w:sz w:val="22"/>
          <w:szCs w:val="22"/>
        </w:rPr>
        <w:t xml:space="preserve">In 2012, DOE’s Idaho National </w:t>
      </w:r>
      <w:proofErr w:type="gramStart"/>
      <w:r w:rsidR="002A2817" w:rsidRPr="00725B07">
        <w:rPr>
          <w:rStyle w:val="csdd5e5f52"/>
          <w:rFonts w:ascii="Century Schoolbook" w:eastAsiaTheme="majorEastAsia" w:hAnsi="Century Schoolbook"/>
          <w:color w:val="000000"/>
          <w:sz w:val="22"/>
          <w:szCs w:val="22"/>
        </w:rPr>
        <w:t>Laboratory</w:t>
      </w:r>
      <w:proofErr w:type="gramEnd"/>
      <w:r w:rsidR="002A2817" w:rsidRPr="00725B07">
        <w:rPr>
          <w:rStyle w:val="csdd5e5f52"/>
          <w:rFonts w:ascii="Century Schoolbook" w:eastAsiaTheme="majorEastAsia" w:hAnsi="Century Schoolbook"/>
          <w:color w:val="000000"/>
          <w:sz w:val="22"/>
          <w:szCs w:val="22"/>
        </w:rPr>
        <w:t xml:space="preserve"> working with DOW’s Defense Threat Reduction </w:t>
      </w:r>
      <w:proofErr w:type="gramStart"/>
      <w:r w:rsidR="002A2817" w:rsidRPr="00725B07">
        <w:rPr>
          <w:rStyle w:val="csdd5e5f52"/>
          <w:rFonts w:ascii="Century Schoolbook" w:eastAsiaTheme="majorEastAsia" w:hAnsi="Century Schoolbook"/>
          <w:color w:val="000000"/>
          <w:sz w:val="22"/>
          <w:szCs w:val="22"/>
        </w:rPr>
        <w:t>Agency</w:t>
      </w:r>
      <w:proofErr w:type="gramEnd"/>
      <w:r w:rsidR="002A2817" w:rsidRPr="00725B07">
        <w:rPr>
          <w:rStyle w:val="csdd5e5f52"/>
          <w:rFonts w:ascii="Century Schoolbook" w:eastAsiaTheme="majorEastAsia" w:hAnsi="Century Schoolbook"/>
          <w:color w:val="000000"/>
          <w:sz w:val="22"/>
          <w:szCs w:val="22"/>
        </w:rPr>
        <w:t xml:space="preserve"> conducted live grid E3 HEMP tests to analyze GIC harmonic threats to the electric grid. </w:t>
      </w:r>
      <w:r w:rsidR="001C4C33" w:rsidRPr="00725B07">
        <w:rPr>
          <w:rStyle w:val="csdd5e5f52"/>
          <w:rFonts w:ascii="Century Schoolbook" w:eastAsiaTheme="majorEastAsia" w:hAnsi="Century Schoolbook"/>
          <w:color w:val="000000"/>
          <w:sz w:val="22"/>
          <w:szCs w:val="22"/>
        </w:rPr>
        <w:t>R</w:t>
      </w:r>
      <w:r w:rsidR="002A2817" w:rsidRPr="00725B07">
        <w:rPr>
          <w:rStyle w:val="csdd5e5f52"/>
          <w:rFonts w:ascii="Century Schoolbook" w:eastAsiaTheme="majorEastAsia" w:hAnsi="Century Schoolbook"/>
          <w:color w:val="000000"/>
          <w:sz w:val="22"/>
          <w:szCs w:val="22"/>
        </w:rPr>
        <w:t>esults show</w:t>
      </w:r>
      <w:r w:rsidR="001C4C33" w:rsidRPr="00725B07">
        <w:rPr>
          <w:rStyle w:val="csdd5e5f52"/>
          <w:rFonts w:ascii="Century Schoolbook" w:eastAsiaTheme="majorEastAsia" w:hAnsi="Century Schoolbook"/>
          <w:color w:val="000000"/>
          <w:sz w:val="22"/>
          <w:szCs w:val="22"/>
        </w:rPr>
        <w:t xml:space="preserve">ed </w:t>
      </w:r>
      <w:r w:rsidR="001C4C33" w:rsidRPr="00725B07">
        <w:rPr>
          <w:rStyle w:val="csdd5e5f52"/>
          <w:rFonts w:ascii="Century Schoolbook" w:eastAsiaTheme="majorEastAsia" w:hAnsi="Century Schoolbook"/>
          <w:b/>
          <w:bCs/>
          <w:color w:val="000000"/>
          <w:sz w:val="22"/>
          <w:szCs w:val="22"/>
        </w:rPr>
        <w:t>15 amps of GIC</w:t>
      </w:r>
      <w:r w:rsidR="001C4C33" w:rsidRPr="00725B07">
        <w:rPr>
          <w:rStyle w:val="csdd5e5f52"/>
          <w:rFonts w:ascii="Century Schoolbook" w:eastAsiaTheme="majorEastAsia" w:hAnsi="Century Schoolbook"/>
          <w:color w:val="000000"/>
          <w:sz w:val="22"/>
          <w:szCs w:val="22"/>
        </w:rPr>
        <w:t xml:space="preserve"> in the neutral caused</w:t>
      </w:r>
      <w:r w:rsidR="002A2817" w:rsidRPr="00725B07">
        <w:rPr>
          <w:rStyle w:val="csdd5e5f52"/>
          <w:rFonts w:ascii="Century Schoolbook" w:eastAsiaTheme="majorEastAsia" w:hAnsi="Century Schoolbook"/>
          <w:color w:val="000000"/>
          <w:sz w:val="22"/>
          <w:szCs w:val="22"/>
        </w:rPr>
        <w:t xml:space="preserve"> </w:t>
      </w:r>
      <w:r w:rsidR="001C4C33" w:rsidRPr="00725B07">
        <w:rPr>
          <w:rStyle w:val="csdd5e5f52"/>
          <w:rFonts w:ascii="Century Schoolbook" w:eastAsiaTheme="majorEastAsia" w:hAnsi="Century Schoolbook"/>
          <w:color w:val="000000"/>
          <w:sz w:val="22"/>
          <w:szCs w:val="22"/>
        </w:rPr>
        <w:t xml:space="preserve">the </w:t>
      </w:r>
      <w:r w:rsidR="002A2817" w:rsidRPr="00725B07">
        <w:rPr>
          <w:rStyle w:val="csdd5e5f52"/>
          <w:rFonts w:ascii="Century Schoolbook" w:eastAsiaTheme="majorEastAsia" w:hAnsi="Century Schoolbook"/>
          <w:color w:val="000000"/>
          <w:sz w:val="22"/>
          <w:szCs w:val="22"/>
        </w:rPr>
        <w:t>transformer</w:t>
      </w:r>
      <w:r w:rsidR="001C4C33" w:rsidRPr="00725B07">
        <w:rPr>
          <w:rStyle w:val="csdd5e5f52"/>
          <w:rFonts w:ascii="Century Schoolbook" w:eastAsiaTheme="majorEastAsia" w:hAnsi="Century Schoolbook"/>
          <w:color w:val="000000"/>
          <w:sz w:val="22"/>
          <w:szCs w:val="22"/>
        </w:rPr>
        <w:t xml:space="preserve"> to inject </w:t>
      </w:r>
      <w:r w:rsidR="002A2817" w:rsidRPr="00725B07">
        <w:rPr>
          <w:rStyle w:val="csdd5e5f52"/>
          <w:rFonts w:ascii="Century Schoolbook" w:eastAsiaTheme="majorEastAsia" w:hAnsi="Century Schoolbook"/>
          <w:color w:val="000000"/>
          <w:sz w:val="22"/>
          <w:szCs w:val="22"/>
        </w:rPr>
        <w:t>harmonic</w:t>
      </w:r>
      <w:r w:rsidR="001C4C33" w:rsidRPr="00725B07">
        <w:rPr>
          <w:rStyle w:val="csdd5e5f52"/>
          <w:rFonts w:ascii="Century Schoolbook" w:eastAsiaTheme="majorEastAsia" w:hAnsi="Century Schoolbook"/>
          <w:color w:val="000000"/>
          <w:sz w:val="22"/>
          <w:szCs w:val="22"/>
        </w:rPr>
        <w:t xml:space="preserve"> currents</w:t>
      </w:r>
      <w:r w:rsidR="002A2817" w:rsidRPr="00725B07">
        <w:rPr>
          <w:rStyle w:val="csdd5e5f52"/>
          <w:rFonts w:ascii="Century Schoolbook" w:eastAsiaTheme="majorEastAsia" w:hAnsi="Century Schoolbook"/>
          <w:color w:val="000000"/>
          <w:sz w:val="22"/>
          <w:szCs w:val="22"/>
        </w:rPr>
        <w:t xml:space="preserve"> that exceeded the IEEE 519 Harmonics Standard. </w:t>
      </w:r>
      <w:r w:rsidR="001C4C33" w:rsidRPr="00725B07">
        <w:rPr>
          <w:rStyle w:val="csdd5e5f52"/>
          <w:rFonts w:ascii="Century Schoolbook" w:eastAsiaTheme="majorEastAsia" w:hAnsi="Century Schoolbook"/>
          <w:color w:val="000000"/>
          <w:sz w:val="22"/>
          <w:szCs w:val="22"/>
        </w:rPr>
        <w:t>GMD and E3 HEMP can induce 1,000</w:t>
      </w:r>
      <w:proofErr w:type="gramStart"/>
      <w:r w:rsidR="001C4C33" w:rsidRPr="00725B07">
        <w:rPr>
          <w:rStyle w:val="csdd5e5f52"/>
          <w:rFonts w:ascii="Century Schoolbook" w:eastAsiaTheme="majorEastAsia" w:hAnsi="Century Schoolbook"/>
          <w:color w:val="000000"/>
          <w:sz w:val="22"/>
          <w:szCs w:val="22"/>
        </w:rPr>
        <w:t>s of amps</w:t>
      </w:r>
      <w:proofErr w:type="gramEnd"/>
      <w:r w:rsidR="001C4C33" w:rsidRPr="00725B07">
        <w:rPr>
          <w:rStyle w:val="csdd5e5f52"/>
          <w:rFonts w:ascii="Century Schoolbook" w:eastAsiaTheme="majorEastAsia" w:hAnsi="Century Schoolbook"/>
          <w:color w:val="000000"/>
          <w:sz w:val="22"/>
          <w:szCs w:val="22"/>
        </w:rPr>
        <w:t xml:space="preserve"> of GIC. </w:t>
      </w:r>
    </w:p>
    <w:p w14:paraId="347B1D75" w14:textId="2F0A7A69" w:rsidR="001C4C33" w:rsidRPr="005A64C3" w:rsidRDefault="001C4C33" w:rsidP="00D14BC4">
      <w:pPr>
        <w:pStyle w:val="csf0a1d375"/>
        <w:shd w:val="clear" w:color="auto" w:fill="FFFFFF"/>
        <w:spacing w:before="0" w:beforeAutospacing="0" w:after="0" w:afterAutospacing="0"/>
        <w:jc w:val="both"/>
        <w:rPr>
          <w:rStyle w:val="csdd5e5f52"/>
          <w:rFonts w:ascii="Century Schoolbook" w:eastAsiaTheme="majorEastAsia" w:hAnsi="Century Schoolbook"/>
          <w:sz w:val="22"/>
          <w:szCs w:val="22"/>
        </w:rPr>
      </w:pPr>
      <w:r w:rsidRPr="005A64C3">
        <w:rPr>
          <w:rStyle w:val="csdd5e5f52"/>
          <w:rFonts w:ascii="Century Schoolbook" w:eastAsiaTheme="majorEastAsia" w:hAnsi="Century Schoolbook"/>
          <w:sz w:val="22"/>
          <w:szCs w:val="22"/>
        </w:rPr>
        <w:t>VII. Credible studies by NOAA, Lockheed Martin and Zurich estimate that GIC-induced harmonics from transformers due to routine solar weather causes an est. $10B annual loss to the U.S. Economy.</w:t>
      </w:r>
    </w:p>
    <w:p w14:paraId="239E5260" w14:textId="286DA6DD" w:rsidR="00D14BC4" w:rsidRPr="00725B07" w:rsidRDefault="00D14BC4" w:rsidP="00D14BC4">
      <w:pPr>
        <w:pStyle w:val="csf0a1d375"/>
        <w:shd w:val="clear" w:color="auto" w:fill="FFFFFF"/>
        <w:spacing w:before="0" w:beforeAutospacing="0" w:after="0" w:afterAutospacing="0"/>
        <w:jc w:val="both"/>
        <w:rPr>
          <w:rStyle w:val="csdd5e5f52"/>
          <w:rFonts w:ascii="Century Schoolbook" w:eastAsiaTheme="majorEastAsia" w:hAnsi="Century Schoolbook"/>
          <w:color w:val="000000"/>
          <w:sz w:val="22"/>
          <w:szCs w:val="22"/>
        </w:rPr>
      </w:pPr>
      <w:r w:rsidRPr="00725B07">
        <w:rPr>
          <w:rStyle w:val="csdd5e5f52"/>
          <w:rFonts w:ascii="Century Schoolbook" w:eastAsiaTheme="majorEastAsia" w:hAnsi="Century Schoolbook"/>
          <w:color w:val="000000"/>
          <w:sz w:val="22"/>
          <w:szCs w:val="22"/>
        </w:rPr>
        <w:t xml:space="preserve">VIII. </w:t>
      </w:r>
      <w:r w:rsidR="002A2817" w:rsidRPr="00725B07">
        <w:rPr>
          <w:rStyle w:val="csdd5e5f52"/>
          <w:rFonts w:ascii="Century Schoolbook" w:eastAsiaTheme="majorEastAsia" w:hAnsi="Century Schoolbook"/>
          <w:color w:val="000000"/>
          <w:sz w:val="22"/>
          <w:szCs w:val="22"/>
        </w:rPr>
        <w:t>On July 23, 2012, a powerful coronal mass ejection (CME) erupted off the back side of the sun racing through Earth’s orbit missing Earth by 9 days. It was measured by STEREO-A satellite and determined by NOAA to be in all respects at least the size of the Carrington event of 1859 (</w:t>
      </w:r>
      <w:r w:rsidR="002A2817" w:rsidRPr="00725B07">
        <w:rPr>
          <w:rStyle w:val="csdd5e5f52"/>
          <w:rFonts w:ascii="Century Schoolbook" w:eastAsiaTheme="majorEastAsia" w:hAnsi="Century Schoolbook"/>
          <w:b/>
          <w:bCs/>
          <w:color w:val="000000"/>
          <w:sz w:val="22"/>
          <w:szCs w:val="22"/>
        </w:rPr>
        <w:t>&gt;20 V/km</w:t>
      </w:r>
      <w:r w:rsidR="002A2817" w:rsidRPr="00725B07">
        <w:rPr>
          <w:rStyle w:val="csdd5e5f52"/>
          <w:rFonts w:ascii="Century Schoolbook" w:eastAsiaTheme="majorEastAsia" w:hAnsi="Century Schoolbook"/>
          <w:color w:val="000000"/>
          <w:sz w:val="22"/>
          <w:szCs w:val="22"/>
        </w:rPr>
        <w:t xml:space="preserve">). </w:t>
      </w:r>
    </w:p>
    <w:p w14:paraId="0BCAE0A7" w14:textId="77777777" w:rsidR="00D14BC4" w:rsidRPr="00725B07" w:rsidRDefault="00D14BC4" w:rsidP="00D14BC4">
      <w:pPr>
        <w:pStyle w:val="csf0a1d375"/>
        <w:shd w:val="clear" w:color="auto" w:fill="FFFFFF"/>
        <w:spacing w:before="0" w:beforeAutospacing="0" w:after="0" w:afterAutospacing="0"/>
        <w:jc w:val="both"/>
        <w:rPr>
          <w:rStyle w:val="csdd5e5f52"/>
          <w:rFonts w:ascii="Century Schoolbook" w:eastAsiaTheme="majorEastAsia" w:hAnsi="Century Schoolbook"/>
          <w:color w:val="000000"/>
          <w:sz w:val="22"/>
          <w:szCs w:val="22"/>
        </w:rPr>
      </w:pPr>
      <w:r w:rsidRPr="00725B07">
        <w:rPr>
          <w:rStyle w:val="csdd5e5f52"/>
          <w:rFonts w:ascii="Century Schoolbook" w:eastAsiaTheme="majorEastAsia" w:hAnsi="Century Schoolbook"/>
          <w:color w:val="000000"/>
          <w:sz w:val="22"/>
          <w:szCs w:val="22"/>
        </w:rPr>
        <w:t xml:space="preserve">IX. In February 2013, the NERC GMD committee of 8 respected space weather scientists estimated a reference storm. Preliminary results showed a peak electric field strength of </w:t>
      </w:r>
      <w:r w:rsidRPr="00725B07">
        <w:rPr>
          <w:rStyle w:val="csdd5e5f52"/>
          <w:rFonts w:ascii="Century Schoolbook" w:eastAsiaTheme="majorEastAsia" w:hAnsi="Century Schoolbook"/>
          <w:b/>
          <w:bCs/>
          <w:color w:val="000000"/>
          <w:sz w:val="22"/>
          <w:szCs w:val="22"/>
        </w:rPr>
        <w:t>30 V/km to 40 V/km</w:t>
      </w:r>
      <w:r w:rsidRPr="00725B07">
        <w:rPr>
          <w:rStyle w:val="csdd5e5f52"/>
          <w:rFonts w:ascii="Century Schoolbook" w:eastAsiaTheme="majorEastAsia" w:hAnsi="Century Schoolbook"/>
          <w:color w:val="000000"/>
          <w:sz w:val="22"/>
          <w:szCs w:val="22"/>
        </w:rPr>
        <w:t>.</w:t>
      </w:r>
    </w:p>
    <w:p w14:paraId="01192DDB" w14:textId="77777777" w:rsidR="00D14BC4" w:rsidRPr="00725B07" w:rsidRDefault="00D14BC4" w:rsidP="00D14BC4">
      <w:pPr>
        <w:pStyle w:val="csf0a1d375"/>
        <w:shd w:val="clear" w:color="auto" w:fill="FFFFFF"/>
        <w:spacing w:before="0" w:beforeAutospacing="0" w:after="0" w:afterAutospacing="0"/>
        <w:jc w:val="both"/>
        <w:rPr>
          <w:rStyle w:val="csdd5e5f52"/>
          <w:rFonts w:ascii="Century Schoolbook" w:eastAsiaTheme="majorEastAsia" w:hAnsi="Century Schoolbook"/>
          <w:color w:val="000000"/>
          <w:sz w:val="22"/>
          <w:szCs w:val="22"/>
        </w:rPr>
      </w:pPr>
      <w:r w:rsidRPr="00725B07">
        <w:rPr>
          <w:rStyle w:val="csdd5e5f52"/>
          <w:rFonts w:ascii="Century Schoolbook" w:eastAsiaTheme="majorEastAsia" w:hAnsi="Century Schoolbook"/>
          <w:color w:val="000000"/>
          <w:sz w:val="22"/>
          <w:szCs w:val="22"/>
        </w:rPr>
        <w:lastRenderedPageBreak/>
        <w:t xml:space="preserve">X. In May 2025, the International Electrotechnical Commission (IEC) updated the </w:t>
      </w:r>
      <w:r w:rsidRPr="00725B07">
        <w:rPr>
          <w:rStyle w:val="csdd5e5f52"/>
          <w:rFonts w:ascii="Century Schoolbook" w:eastAsiaTheme="majorEastAsia" w:hAnsi="Century Schoolbook"/>
          <w:b/>
          <w:bCs/>
          <w:color w:val="000000"/>
          <w:sz w:val="22"/>
          <w:szCs w:val="22"/>
        </w:rPr>
        <w:t>international standard IEC</w:t>
      </w:r>
      <w:r w:rsidRPr="00725B07">
        <w:rPr>
          <w:rStyle w:val="csdd5e5f52"/>
          <w:rFonts w:ascii="Century Schoolbook" w:eastAsiaTheme="majorEastAsia" w:hAnsi="Century Schoolbook"/>
          <w:color w:val="000000"/>
          <w:sz w:val="22"/>
          <w:szCs w:val="22"/>
        </w:rPr>
        <w:t xml:space="preserve"> 61000-2-9 for E3 HEMP to </w:t>
      </w:r>
      <w:r w:rsidRPr="00725B07">
        <w:rPr>
          <w:rStyle w:val="csdd5e5f52"/>
          <w:rFonts w:ascii="Century Schoolbook" w:eastAsiaTheme="majorEastAsia" w:hAnsi="Century Schoolbook"/>
          <w:b/>
          <w:bCs/>
          <w:color w:val="000000"/>
          <w:sz w:val="22"/>
          <w:szCs w:val="22"/>
        </w:rPr>
        <w:t>85 V/km</w:t>
      </w:r>
      <w:r w:rsidRPr="00725B07">
        <w:rPr>
          <w:rStyle w:val="csdd5e5f52"/>
          <w:rFonts w:ascii="Century Schoolbook" w:eastAsiaTheme="majorEastAsia" w:hAnsi="Century Schoolbook"/>
          <w:color w:val="000000"/>
          <w:sz w:val="22"/>
          <w:szCs w:val="22"/>
        </w:rPr>
        <w:t>.</w:t>
      </w:r>
    </w:p>
    <w:p w14:paraId="3E00CD1A" w14:textId="331C5BB0" w:rsidR="00D14BC4" w:rsidRPr="00725B07" w:rsidRDefault="00D14BC4" w:rsidP="00D14BC4">
      <w:pPr>
        <w:pStyle w:val="csf0a1d375"/>
        <w:shd w:val="clear" w:color="auto" w:fill="FFFFFF"/>
        <w:spacing w:before="0" w:beforeAutospacing="0" w:after="0" w:afterAutospacing="0"/>
        <w:jc w:val="both"/>
        <w:rPr>
          <w:rStyle w:val="csdd5e5f52"/>
          <w:rFonts w:ascii="Century Schoolbook" w:eastAsiaTheme="majorEastAsia" w:hAnsi="Century Schoolbook"/>
          <w:color w:val="000000"/>
          <w:sz w:val="22"/>
          <w:szCs w:val="22"/>
        </w:rPr>
      </w:pPr>
      <w:r w:rsidRPr="00725B07">
        <w:rPr>
          <w:rStyle w:val="csdd5e5f52"/>
          <w:rFonts w:ascii="Century Schoolbook" w:eastAsiaTheme="majorEastAsia" w:hAnsi="Century Schoolbook"/>
          <w:color w:val="000000"/>
          <w:sz w:val="22"/>
          <w:szCs w:val="22"/>
        </w:rPr>
        <w:t>XI</w:t>
      </w:r>
      <w:proofErr w:type="gramStart"/>
      <w:r w:rsidRPr="00725B07">
        <w:rPr>
          <w:rStyle w:val="csdd5e5f52"/>
          <w:rFonts w:ascii="Century Schoolbook" w:eastAsiaTheme="majorEastAsia" w:hAnsi="Century Schoolbook"/>
          <w:color w:val="000000"/>
          <w:sz w:val="22"/>
          <w:szCs w:val="22"/>
        </w:rPr>
        <w:t>.  The</w:t>
      </w:r>
      <w:proofErr w:type="gramEnd"/>
      <w:r w:rsidRPr="00725B07">
        <w:rPr>
          <w:rStyle w:val="csdd5e5f52"/>
          <w:rFonts w:ascii="Century Schoolbook" w:eastAsiaTheme="majorEastAsia" w:hAnsi="Century Schoolbook"/>
          <w:color w:val="000000"/>
          <w:sz w:val="22"/>
          <w:szCs w:val="22"/>
        </w:rPr>
        <w:t xml:space="preserve"> </w:t>
      </w:r>
      <w:r w:rsidRPr="00725B07">
        <w:rPr>
          <w:rStyle w:val="csdd5e5f52"/>
          <w:rFonts w:ascii="Century Schoolbook" w:eastAsiaTheme="majorEastAsia" w:hAnsi="Century Schoolbook"/>
          <w:b/>
          <w:bCs/>
          <w:color w:val="000000"/>
          <w:sz w:val="22"/>
          <w:szCs w:val="22"/>
        </w:rPr>
        <w:t>NERC GMD Standard</w:t>
      </w:r>
      <w:r w:rsidRPr="00725B07">
        <w:rPr>
          <w:rStyle w:val="csdd5e5f52"/>
          <w:rFonts w:ascii="Century Schoolbook" w:eastAsiaTheme="majorEastAsia" w:hAnsi="Century Schoolbook"/>
          <w:color w:val="000000"/>
          <w:sz w:val="22"/>
          <w:szCs w:val="22"/>
        </w:rPr>
        <w:t xml:space="preserve"> requires utilities in the </w:t>
      </w:r>
      <w:r w:rsidRPr="00725B07">
        <w:rPr>
          <w:rStyle w:val="csdd5e5f52"/>
          <w:rFonts w:ascii="Century Schoolbook" w:eastAsiaTheme="majorEastAsia" w:hAnsi="Century Schoolbook"/>
          <w:b/>
          <w:bCs/>
          <w:color w:val="000000"/>
          <w:sz w:val="22"/>
          <w:szCs w:val="22"/>
        </w:rPr>
        <w:t xml:space="preserve">State </w:t>
      </w:r>
      <w:proofErr w:type="gramStart"/>
      <w:r w:rsidRPr="00725B07">
        <w:rPr>
          <w:rStyle w:val="csdd5e5f52"/>
          <w:rFonts w:ascii="Century Schoolbook" w:eastAsiaTheme="majorEastAsia" w:hAnsi="Century Schoolbook"/>
          <w:b/>
          <w:bCs/>
          <w:color w:val="000000"/>
          <w:sz w:val="22"/>
          <w:szCs w:val="22"/>
        </w:rPr>
        <w:t xml:space="preserve">of </w:t>
      </w:r>
      <w:proofErr w:type="gramEnd"/>
      <w:r w:rsidR="00F57051" w:rsidRPr="00725B07">
        <w:rPr>
          <w:rStyle w:val="csdd5e5f52"/>
          <w:rFonts w:ascii="Century Schoolbook" w:eastAsiaTheme="majorEastAsia" w:hAnsi="Century Schoolbook"/>
          <w:b/>
          <w:bCs/>
          <w:color w:val="EE0000"/>
          <w:sz w:val="22"/>
          <w:szCs w:val="22"/>
        </w:rPr>
        <w:t>___________</w:t>
      </w:r>
      <w:r w:rsidR="00F57051" w:rsidRPr="00725B07">
        <w:rPr>
          <w:rStyle w:val="csdd5e5f52"/>
          <w:rFonts w:ascii="Century Schoolbook" w:eastAsiaTheme="majorEastAsia" w:hAnsi="Century Schoolbook"/>
          <w:color w:val="000000"/>
          <w:sz w:val="22"/>
          <w:szCs w:val="22"/>
        </w:rPr>
        <w:t xml:space="preserve"> </w:t>
      </w:r>
      <w:proofErr w:type="spellStart"/>
      <w:r w:rsidRPr="00725B07">
        <w:rPr>
          <w:rStyle w:val="csdd5e5f52"/>
          <w:rFonts w:ascii="Century Schoolbook" w:eastAsiaTheme="majorEastAsia" w:hAnsi="Century Schoolbook"/>
          <w:color w:val="000000"/>
          <w:sz w:val="22"/>
          <w:szCs w:val="22"/>
        </w:rPr>
        <w:t>to</w:t>
      </w:r>
      <w:proofErr w:type="spellEnd"/>
      <w:r w:rsidRPr="00725B07">
        <w:rPr>
          <w:rStyle w:val="csdd5e5f52"/>
          <w:rFonts w:ascii="Century Schoolbook" w:eastAsiaTheme="majorEastAsia" w:hAnsi="Century Schoolbook"/>
          <w:color w:val="000000"/>
          <w:sz w:val="22"/>
          <w:szCs w:val="22"/>
        </w:rPr>
        <w:t xml:space="preserve"> model </w:t>
      </w:r>
      <w:r w:rsidR="00F57051" w:rsidRPr="00725B07">
        <w:rPr>
          <w:rStyle w:val="csdd5e5f52"/>
          <w:rFonts w:ascii="Century Schoolbook" w:eastAsiaTheme="majorEastAsia" w:hAnsi="Century Schoolbook"/>
          <w:b/>
          <w:bCs/>
          <w:color w:val="EE0000"/>
          <w:sz w:val="22"/>
          <w:szCs w:val="22"/>
        </w:rPr>
        <w:t>_____</w:t>
      </w:r>
      <w:r w:rsidRPr="00725B07">
        <w:rPr>
          <w:rStyle w:val="csdd5e5f52"/>
          <w:rFonts w:ascii="Century Schoolbook" w:eastAsiaTheme="majorEastAsia" w:hAnsi="Century Schoolbook"/>
          <w:b/>
          <w:bCs/>
          <w:color w:val="EE0000"/>
          <w:sz w:val="22"/>
          <w:szCs w:val="22"/>
        </w:rPr>
        <w:t xml:space="preserve"> </w:t>
      </w:r>
      <w:r w:rsidRPr="00725B07">
        <w:rPr>
          <w:rStyle w:val="csdd5e5f52"/>
          <w:rFonts w:ascii="Century Schoolbook" w:eastAsiaTheme="majorEastAsia" w:hAnsi="Century Schoolbook"/>
          <w:b/>
          <w:bCs/>
          <w:color w:val="000000"/>
          <w:sz w:val="22"/>
          <w:szCs w:val="22"/>
        </w:rPr>
        <w:t>V/km</w:t>
      </w:r>
      <w:r w:rsidRPr="00725B07">
        <w:rPr>
          <w:rStyle w:val="csdd5e5f52"/>
          <w:rFonts w:ascii="Century Schoolbook" w:eastAsiaTheme="majorEastAsia" w:hAnsi="Century Schoolbook"/>
          <w:color w:val="000000"/>
          <w:sz w:val="22"/>
          <w:szCs w:val="22"/>
        </w:rPr>
        <w:t>.</w:t>
      </w:r>
    </w:p>
    <w:p w14:paraId="3FC92E2C" w14:textId="16B69D09" w:rsidR="00D14BC4" w:rsidRPr="005A64C3" w:rsidRDefault="001C4C33" w:rsidP="00D14BC4">
      <w:pPr>
        <w:pStyle w:val="csf0a1d375"/>
        <w:shd w:val="clear" w:color="auto" w:fill="FFFFFF"/>
        <w:spacing w:before="0" w:beforeAutospacing="0" w:after="0" w:afterAutospacing="0"/>
        <w:jc w:val="both"/>
        <w:rPr>
          <w:rStyle w:val="csdd5e5f52"/>
          <w:rFonts w:ascii="Century Schoolbook" w:eastAsiaTheme="majorEastAsia" w:hAnsi="Century Schoolbook"/>
          <w:sz w:val="22"/>
          <w:szCs w:val="22"/>
        </w:rPr>
      </w:pPr>
      <w:r w:rsidRPr="005A64C3">
        <w:rPr>
          <w:rStyle w:val="csdd5e5f52"/>
          <w:rFonts w:ascii="Century Schoolbook" w:eastAsiaTheme="majorEastAsia" w:hAnsi="Century Schoolbook"/>
          <w:sz w:val="22"/>
          <w:szCs w:val="22"/>
        </w:rPr>
        <w:t xml:space="preserve">XII. </w:t>
      </w:r>
      <w:r w:rsidR="00D14BC4" w:rsidRPr="005A64C3">
        <w:rPr>
          <w:rStyle w:val="csdd5e5f52"/>
          <w:rFonts w:ascii="Century Schoolbook" w:eastAsiaTheme="majorEastAsia" w:hAnsi="Century Schoolbook"/>
          <w:sz w:val="22"/>
          <w:szCs w:val="22"/>
        </w:rPr>
        <w:t>With the existence of validated GIC mitigation hardware that</w:t>
      </w:r>
      <w:r w:rsidRPr="005A64C3">
        <w:rPr>
          <w:rStyle w:val="csdd5e5f52"/>
          <w:rFonts w:ascii="Century Schoolbook" w:eastAsiaTheme="majorEastAsia" w:hAnsi="Century Schoolbook"/>
          <w:sz w:val="22"/>
          <w:szCs w:val="22"/>
        </w:rPr>
        <w:t xml:space="preserve"> </w:t>
      </w:r>
      <w:r w:rsidR="00D14BC4" w:rsidRPr="005A64C3">
        <w:rPr>
          <w:rStyle w:val="csdd5e5f52"/>
          <w:rFonts w:ascii="Century Schoolbook" w:eastAsiaTheme="majorEastAsia" w:hAnsi="Century Schoolbook"/>
          <w:sz w:val="22"/>
          <w:szCs w:val="22"/>
        </w:rPr>
        <w:t>protects power transformers</w:t>
      </w:r>
      <w:r w:rsidR="0063431F" w:rsidRPr="005A64C3">
        <w:rPr>
          <w:rStyle w:val="csdd5e5f52"/>
          <w:rFonts w:ascii="Century Schoolbook" w:eastAsiaTheme="majorEastAsia" w:hAnsi="Century Schoolbook"/>
          <w:sz w:val="22"/>
          <w:szCs w:val="22"/>
        </w:rPr>
        <w:t>, prevents half-cycle saturation</w:t>
      </w:r>
      <w:r w:rsidR="00D14BC4" w:rsidRPr="005A64C3">
        <w:rPr>
          <w:rStyle w:val="csdd5e5f52"/>
          <w:rFonts w:ascii="Century Schoolbook" w:eastAsiaTheme="majorEastAsia" w:hAnsi="Century Schoolbook"/>
          <w:sz w:val="22"/>
          <w:szCs w:val="22"/>
        </w:rPr>
        <w:t xml:space="preserve"> and improves grid resilience against </w:t>
      </w:r>
      <w:r w:rsidRPr="005A64C3">
        <w:rPr>
          <w:rStyle w:val="csdd5e5f52"/>
          <w:rFonts w:ascii="Century Schoolbook" w:eastAsiaTheme="majorEastAsia" w:hAnsi="Century Schoolbook"/>
          <w:sz w:val="22"/>
          <w:szCs w:val="22"/>
        </w:rPr>
        <w:t xml:space="preserve">both minor and </w:t>
      </w:r>
      <w:r w:rsidR="00D14BC4" w:rsidRPr="005A64C3">
        <w:rPr>
          <w:rStyle w:val="csdd5e5f52"/>
          <w:rFonts w:ascii="Century Schoolbook" w:eastAsiaTheme="majorEastAsia" w:hAnsi="Century Schoolbook"/>
          <w:sz w:val="22"/>
          <w:szCs w:val="22"/>
        </w:rPr>
        <w:t>severe GIC events, reliance on load shedding or operating procedures which cannot block GIC, are no longer justified.</w:t>
      </w:r>
    </w:p>
    <w:p w14:paraId="069E98AE" w14:textId="529D6C4B" w:rsidR="001C4C33" w:rsidRPr="005A64C3" w:rsidRDefault="001C4C33" w:rsidP="00D14BC4">
      <w:pPr>
        <w:pStyle w:val="csf0a1d375"/>
        <w:shd w:val="clear" w:color="auto" w:fill="FFFFFF"/>
        <w:spacing w:before="0" w:beforeAutospacing="0" w:after="0" w:afterAutospacing="0"/>
        <w:jc w:val="both"/>
        <w:rPr>
          <w:rStyle w:val="csdd5e5f52"/>
          <w:rFonts w:ascii="Century Schoolbook" w:eastAsiaTheme="majorEastAsia" w:hAnsi="Century Schoolbook"/>
          <w:sz w:val="22"/>
          <w:szCs w:val="22"/>
        </w:rPr>
      </w:pPr>
      <w:r w:rsidRPr="005A64C3">
        <w:rPr>
          <w:rStyle w:val="csdd5e5f52"/>
          <w:rFonts w:ascii="Century Schoolbook" w:eastAsiaTheme="majorEastAsia" w:hAnsi="Century Schoolbook"/>
          <w:sz w:val="22"/>
          <w:szCs w:val="22"/>
        </w:rPr>
        <w:t xml:space="preserve">XIII. Federal and international standards highlight the importance of protection against these threats. </w:t>
      </w:r>
    </w:p>
    <w:p w14:paraId="282356FA" w14:textId="34225B8A" w:rsidR="001C4C33" w:rsidRPr="005A64C3" w:rsidRDefault="001C4C33" w:rsidP="001C4C33">
      <w:pPr>
        <w:pStyle w:val="csf0a1d375"/>
        <w:shd w:val="clear" w:color="auto" w:fill="FFFFFF"/>
        <w:spacing w:before="0" w:beforeAutospacing="0" w:after="0" w:afterAutospacing="0"/>
        <w:jc w:val="both"/>
        <w:rPr>
          <w:rStyle w:val="csdd5e5f52"/>
          <w:rFonts w:ascii="Century Schoolbook" w:eastAsiaTheme="majorEastAsia" w:hAnsi="Century Schoolbook"/>
          <w:sz w:val="22"/>
          <w:szCs w:val="22"/>
        </w:rPr>
      </w:pPr>
      <w:r w:rsidRPr="005A64C3">
        <w:rPr>
          <w:rStyle w:val="csdd5e5f52"/>
          <w:rFonts w:ascii="Century Schoolbook" w:eastAsiaTheme="majorEastAsia" w:hAnsi="Century Schoolbook"/>
          <w:sz w:val="22"/>
          <w:szCs w:val="22"/>
        </w:rPr>
        <w:t>XIV. The U.S. government has not provided the electric utility industry with sufficient financial incentives to prioritize GIC-protection of its vulnerable transformers - which protects the overall grid.</w:t>
      </w:r>
    </w:p>
    <w:p w14:paraId="23FD171E" w14:textId="77777777" w:rsidR="00D14BC4" w:rsidRPr="00725B07" w:rsidRDefault="00D14BC4" w:rsidP="00D14BC4">
      <w:pPr>
        <w:pStyle w:val="Default"/>
        <w:rPr>
          <w:rFonts w:ascii="Century Schoolbook" w:hAnsi="Century Schoolbook"/>
          <w:color w:val="auto"/>
          <w:sz w:val="22"/>
          <w:szCs w:val="22"/>
        </w:rPr>
      </w:pPr>
    </w:p>
    <w:p w14:paraId="3F6C982A" w14:textId="3BB82B51"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SECTION 2. Definitions as used in this act</w:t>
      </w:r>
      <w:r w:rsidR="004A51C5" w:rsidRPr="00725B07">
        <w:rPr>
          <w:rFonts w:ascii="Century Schoolbook" w:hAnsi="Century Schoolbook"/>
          <w:color w:val="auto"/>
          <w:sz w:val="22"/>
          <w:szCs w:val="22"/>
        </w:rPr>
        <w:t>.</w:t>
      </w:r>
      <w:r w:rsidRPr="00725B07">
        <w:rPr>
          <w:rFonts w:ascii="Century Schoolbook" w:hAnsi="Century Schoolbook"/>
          <w:color w:val="auto"/>
          <w:sz w:val="22"/>
          <w:szCs w:val="22"/>
        </w:rPr>
        <w:t xml:space="preserve"> </w:t>
      </w:r>
    </w:p>
    <w:p w14:paraId="44165AED"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(1) "Covered entity" means an electric utility or electric project developer, owner, or operator within this state, regardless of public or private ownership or jurisdiction under the North American Electric Reliability Corporation (NERC</w:t>
      </w:r>
      <w:proofErr w:type="gramStart"/>
      <w:r w:rsidRPr="00725B07">
        <w:rPr>
          <w:rFonts w:ascii="Century Schoolbook" w:hAnsi="Century Schoolbook"/>
          <w:color w:val="auto"/>
          <w:sz w:val="22"/>
          <w:szCs w:val="22"/>
        </w:rPr>
        <w:t>);</w:t>
      </w:r>
      <w:proofErr w:type="gramEnd"/>
      <w:r w:rsidRPr="00725B07">
        <w:rPr>
          <w:rFonts w:ascii="Century Schoolbook" w:hAnsi="Century Schoolbook"/>
          <w:color w:val="auto"/>
          <w:sz w:val="22"/>
          <w:szCs w:val="22"/>
        </w:rPr>
        <w:t xml:space="preserve"> </w:t>
      </w:r>
    </w:p>
    <w:p w14:paraId="28AAFD82" w14:textId="2098ED8B"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(2) "Covered equipment" means any generation or transmission large power transformer (GSU, </w:t>
      </w:r>
      <w:r w:rsidR="004A51C5" w:rsidRPr="00725B07">
        <w:rPr>
          <w:rFonts w:ascii="Century Schoolbook" w:hAnsi="Century Schoolbook"/>
          <w:color w:val="auto"/>
          <w:sz w:val="22"/>
          <w:szCs w:val="22"/>
        </w:rPr>
        <w:t>a</w:t>
      </w:r>
      <w:r w:rsidRPr="00725B07">
        <w:rPr>
          <w:rFonts w:ascii="Century Schoolbook" w:hAnsi="Century Schoolbook"/>
          <w:color w:val="auto"/>
          <w:sz w:val="22"/>
          <w:szCs w:val="22"/>
        </w:rPr>
        <w:t>uto</w:t>
      </w:r>
      <w:r w:rsidR="004A51C5" w:rsidRPr="00725B07">
        <w:rPr>
          <w:rFonts w:ascii="Century Schoolbook" w:hAnsi="Century Schoolbook"/>
          <w:color w:val="auto"/>
          <w:sz w:val="22"/>
          <w:szCs w:val="22"/>
        </w:rPr>
        <w:t>, s</w:t>
      </w:r>
      <w:r w:rsidRPr="00725B07">
        <w:rPr>
          <w:rFonts w:ascii="Century Schoolbook" w:hAnsi="Century Schoolbook"/>
          <w:color w:val="auto"/>
          <w:sz w:val="22"/>
          <w:szCs w:val="22"/>
        </w:rPr>
        <w:t>tep-down</w:t>
      </w:r>
      <w:r w:rsidR="004A51C5" w:rsidRPr="00725B07">
        <w:rPr>
          <w:rFonts w:ascii="Century Schoolbook" w:hAnsi="Century Schoolbook"/>
          <w:color w:val="auto"/>
          <w:sz w:val="22"/>
          <w:szCs w:val="22"/>
        </w:rPr>
        <w:t xml:space="preserve"> or converter</w:t>
      </w:r>
      <w:r w:rsidRPr="00725B07">
        <w:rPr>
          <w:rFonts w:ascii="Century Schoolbook" w:hAnsi="Century Schoolbook"/>
          <w:color w:val="auto"/>
          <w:sz w:val="22"/>
          <w:szCs w:val="22"/>
        </w:rPr>
        <w:t xml:space="preserve">) with a high side, wye-grounded winding with terminal voltage of 200 kV or greater. </w:t>
      </w:r>
    </w:p>
    <w:p w14:paraId="42CC1BAC" w14:textId="57F032A5"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(3) "GIC" means ground induced current, also known as geomagnetically induced current, resulting from naturally occurring geomagnetic disturbances or the late-time component of a high-altitude nuclear electromagnetic pulse; and</w:t>
      </w:r>
    </w:p>
    <w:p w14:paraId="2B4E7F36"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(4) “Critical energy infrastructure information protocols,” “critical electric infrastructure information protocols,” or “CEII” means specific engineering, vulnerability, or detailed design protocols and procedures related to proposed or existing critical infrastructure, whether physical or virtual, that relate to the production, generation, transmission, transportation, or distribution of energy, the unauthorized disclosure of which could pose a risk to the security, reliability, or integrity of the infrastructure; such protocols are designed as confidential and exempt from public disclosure, as their release could be useful to a person planning an attack or otherwise causing harm to the infrastructure.</w:t>
      </w:r>
    </w:p>
    <w:p w14:paraId="7D72F967" w14:textId="77777777" w:rsidR="00D14BC4" w:rsidRPr="00725B07" w:rsidRDefault="00D14BC4" w:rsidP="00D14BC4">
      <w:pPr>
        <w:pStyle w:val="Default"/>
        <w:rPr>
          <w:rFonts w:ascii="Century Schoolbook" w:hAnsi="Century Schoolbook"/>
          <w:color w:val="auto"/>
          <w:sz w:val="22"/>
          <w:szCs w:val="22"/>
        </w:rPr>
      </w:pPr>
    </w:p>
    <w:p w14:paraId="3ED6ECDD" w14:textId="44113C2B"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SECTION 3. Assessment</w:t>
      </w:r>
      <w:r w:rsidR="004A51C5" w:rsidRPr="00725B07">
        <w:rPr>
          <w:rFonts w:ascii="Century Schoolbook" w:hAnsi="Century Schoolbook"/>
          <w:color w:val="auto"/>
          <w:sz w:val="22"/>
          <w:szCs w:val="22"/>
        </w:rPr>
        <w:t xml:space="preserve"> Requirements</w:t>
      </w:r>
      <w:r w:rsidRPr="00725B07">
        <w:rPr>
          <w:rFonts w:ascii="Century Schoolbook" w:hAnsi="Century Schoolbook"/>
          <w:color w:val="auto"/>
          <w:sz w:val="22"/>
          <w:szCs w:val="22"/>
        </w:rPr>
        <w:t>.</w:t>
      </w:r>
    </w:p>
    <w:p w14:paraId="5649AB48" w14:textId="5045D97B"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a) Each covered entity shall</w:t>
      </w:r>
      <w:r w:rsidR="005A64C3">
        <w:rPr>
          <w:rFonts w:ascii="Century Schoolbook" w:hAnsi="Century Schoolbook"/>
          <w:color w:val="auto"/>
          <w:sz w:val="22"/>
          <w:szCs w:val="22"/>
        </w:rPr>
        <w:t xml:space="preserve"> </w:t>
      </w:r>
      <w:r w:rsidRPr="00725B07">
        <w:rPr>
          <w:rFonts w:ascii="Century Schoolbook" w:hAnsi="Century Schoolbook"/>
          <w:color w:val="auto"/>
          <w:sz w:val="22"/>
          <w:szCs w:val="22"/>
        </w:rPr>
        <w:t xml:space="preserve">conduct a technical assessment of all covered equipment to determine vulnerability to GICs. </w:t>
      </w:r>
    </w:p>
    <w:p w14:paraId="633CD08E"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(b) The assessment shall:</w:t>
      </w:r>
    </w:p>
    <w:p w14:paraId="2F19CAE7" w14:textId="1FC79EAF"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(1) </w:t>
      </w:r>
      <w:r w:rsidRPr="00725B07">
        <w:rPr>
          <w:rFonts w:ascii="Century Schoolbook" w:hAnsi="Century Schoolbook"/>
          <w:b/>
          <w:bCs/>
          <w:color w:val="auto"/>
          <w:sz w:val="22"/>
          <w:szCs w:val="22"/>
        </w:rPr>
        <w:t xml:space="preserve">Utilize the waveform in Figure 9 of IEC 61000-2-9, Edition 2.0 (2025-05), modeling a peak electric field of 85 V/km in </w:t>
      </w:r>
      <w:r w:rsidR="004A51C5" w:rsidRPr="00725B07">
        <w:rPr>
          <w:rFonts w:ascii="Century Schoolbook" w:hAnsi="Century Schoolbook"/>
          <w:b/>
          <w:bCs/>
          <w:color w:val="auto"/>
          <w:sz w:val="22"/>
          <w:szCs w:val="22"/>
        </w:rPr>
        <w:t>covered entities</w:t>
      </w:r>
      <w:r w:rsidRPr="00725B07">
        <w:rPr>
          <w:rFonts w:ascii="Century Schoolbook" w:hAnsi="Century Schoolbook"/>
          <w:b/>
          <w:bCs/>
          <w:color w:val="auto"/>
          <w:sz w:val="22"/>
          <w:szCs w:val="22"/>
        </w:rPr>
        <w:t xml:space="preserve"> existing DC circuit model developed for </w:t>
      </w:r>
      <w:r w:rsidR="004A51C5" w:rsidRPr="00725B07">
        <w:rPr>
          <w:rFonts w:ascii="Century Schoolbook" w:hAnsi="Century Schoolbook"/>
          <w:b/>
          <w:bCs/>
          <w:color w:val="auto"/>
          <w:sz w:val="22"/>
          <w:szCs w:val="22"/>
        </w:rPr>
        <w:t xml:space="preserve">NERC GMD Standard </w:t>
      </w:r>
      <w:r w:rsidRPr="00725B07">
        <w:rPr>
          <w:rFonts w:ascii="Century Schoolbook" w:hAnsi="Century Schoolbook"/>
          <w:b/>
          <w:bCs/>
          <w:color w:val="auto"/>
          <w:sz w:val="22"/>
          <w:szCs w:val="22"/>
        </w:rPr>
        <w:t>TPL-007</w:t>
      </w:r>
      <w:r w:rsidRPr="00725B07">
        <w:rPr>
          <w:rFonts w:ascii="Century Schoolbook" w:hAnsi="Century Schoolbook"/>
          <w:color w:val="auto"/>
          <w:sz w:val="22"/>
          <w:szCs w:val="22"/>
        </w:rPr>
        <w:t>.</w:t>
      </w:r>
    </w:p>
    <w:p w14:paraId="0B89C84D"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(2) Assume transformers are fully loaded during GIC exposure.</w:t>
      </w:r>
    </w:p>
    <w:p w14:paraId="3FD5F748"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(3) Account for transformer age and condition using ANSI/IEEE Standard C57.110 and IEEE Standard C57.91.</w:t>
      </w:r>
    </w:p>
    <w:p w14:paraId="0E7C5FAC"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(4) Identify susceptibility to half-cycle saturation, GIC-induced harmonics, reactive power consumption, hot spot generation, and insulation degradation.</w:t>
      </w:r>
    </w:p>
    <w:p w14:paraId="62D2CF94" w14:textId="77777777" w:rsidR="00DF3CE2" w:rsidRPr="00725B07" w:rsidRDefault="00DF3CE2" w:rsidP="00D14BC4">
      <w:pPr>
        <w:pStyle w:val="Default"/>
        <w:rPr>
          <w:rFonts w:ascii="Century Schoolbook" w:hAnsi="Century Schoolbook"/>
          <w:color w:val="auto"/>
          <w:sz w:val="22"/>
          <w:szCs w:val="22"/>
        </w:rPr>
      </w:pPr>
    </w:p>
    <w:p w14:paraId="306F448E" w14:textId="28AB15EA" w:rsidR="00DF3CE2" w:rsidRPr="00725B07" w:rsidRDefault="00DF3CE2" w:rsidP="00DF3CE2">
      <w:pPr>
        <w:pStyle w:val="Default"/>
        <w:rPr>
          <w:rFonts w:ascii="Century Schoolbook" w:hAnsi="Century Schoolbook"/>
          <w:color w:val="auto"/>
          <w:sz w:val="22"/>
          <w:szCs w:val="22"/>
        </w:rPr>
      </w:pPr>
      <w:r w:rsidRPr="00725B07">
        <w:rPr>
          <w:rFonts w:ascii="Century Schoolbook" w:hAnsi="Century Schoolbook"/>
          <w:color w:val="auto"/>
          <w:sz w:val="22"/>
          <w:szCs w:val="22"/>
        </w:rPr>
        <w:t>SECTION 4. Covered entities shall not rely solely on operational procedures such as load shedding or reactive power supply to mitigate GIC risk.  Such procedures are not considered sufficient protection under this chapter.</w:t>
      </w:r>
    </w:p>
    <w:p w14:paraId="546F0D25" w14:textId="77777777" w:rsidR="00D14BC4" w:rsidRPr="00725B07" w:rsidRDefault="00D14BC4" w:rsidP="00D14BC4">
      <w:pPr>
        <w:pStyle w:val="Default"/>
        <w:rPr>
          <w:rFonts w:ascii="Century Schoolbook" w:hAnsi="Century Schoolbook"/>
          <w:color w:val="auto"/>
          <w:sz w:val="22"/>
          <w:szCs w:val="22"/>
        </w:rPr>
      </w:pPr>
    </w:p>
    <w:p w14:paraId="43581F1B" w14:textId="4674846E"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SECTION </w:t>
      </w:r>
      <w:r w:rsidR="00DF3CE2" w:rsidRPr="00725B07">
        <w:rPr>
          <w:rFonts w:ascii="Century Schoolbook" w:hAnsi="Century Schoolbook"/>
          <w:color w:val="auto"/>
          <w:sz w:val="22"/>
          <w:szCs w:val="22"/>
        </w:rPr>
        <w:t>5</w:t>
      </w:r>
      <w:r w:rsidRPr="00725B07">
        <w:rPr>
          <w:rFonts w:ascii="Century Schoolbook" w:hAnsi="Century Schoolbook"/>
          <w:color w:val="auto"/>
          <w:sz w:val="22"/>
          <w:szCs w:val="22"/>
        </w:rPr>
        <w:t>. Reporting Requirements.</w:t>
      </w:r>
    </w:p>
    <w:p w14:paraId="26AE2068" w14:textId="6D0D7AC3"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I. No later than 180 days after passage of this act, each covered entity shall submit a report on the assessment conducted pursuant to Section 3 to __</w:t>
      </w:r>
      <w:r w:rsidR="00213041" w:rsidRPr="00725B07">
        <w:rPr>
          <w:rFonts w:ascii="Century Schoolbook" w:hAnsi="Century Schoolbook"/>
          <w:i/>
          <w:iCs/>
          <w:color w:val="auto"/>
          <w:sz w:val="22"/>
          <w:szCs w:val="22"/>
          <w:u w:val="single"/>
        </w:rPr>
        <w:t xml:space="preserve"> </w:t>
      </w:r>
      <w:r w:rsidR="00213041" w:rsidRPr="00725B07">
        <w:rPr>
          <w:rFonts w:ascii="Century Schoolbook" w:hAnsi="Century Schoolbook"/>
          <w:i/>
          <w:iCs/>
          <w:color w:val="EE0000"/>
          <w:sz w:val="22"/>
          <w:szCs w:val="22"/>
          <w:u w:val="single"/>
        </w:rPr>
        <w:t>Name of State Government Entity</w:t>
      </w:r>
      <w:r w:rsidR="00213041" w:rsidRPr="00725B07">
        <w:rPr>
          <w:rFonts w:ascii="Century Schoolbook" w:hAnsi="Century Schoolbook"/>
          <w:color w:val="EE0000"/>
          <w:sz w:val="22"/>
          <w:szCs w:val="22"/>
        </w:rPr>
        <w:t xml:space="preserve"> </w:t>
      </w:r>
      <w:r w:rsidRPr="00725B07">
        <w:rPr>
          <w:rFonts w:ascii="Century Schoolbook" w:hAnsi="Century Schoolbook"/>
          <w:color w:val="auto"/>
          <w:sz w:val="22"/>
          <w:szCs w:val="22"/>
        </w:rPr>
        <w:t>__</w:t>
      </w:r>
      <w:r w:rsidR="006E092F" w:rsidRPr="00725B07">
        <w:rPr>
          <w:rFonts w:ascii="Century Schoolbook" w:hAnsi="Century Schoolbook"/>
          <w:color w:val="auto"/>
          <w:sz w:val="22"/>
          <w:szCs w:val="22"/>
        </w:rPr>
        <w:t>__</w:t>
      </w:r>
      <w:r w:rsidRPr="00725B07">
        <w:rPr>
          <w:rFonts w:ascii="Century Schoolbook" w:hAnsi="Century Schoolbook"/>
          <w:color w:val="auto"/>
          <w:sz w:val="22"/>
          <w:szCs w:val="22"/>
        </w:rPr>
        <w:t>, with copies to ___</w:t>
      </w:r>
      <w:r w:rsidR="00213041" w:rsidRPr="00725B07">
        <w:rPr>
          <w:rFonts w:ascii="Century Schoolbook" w:hAnsi="Century Schoolbook"/>
          <w:i/>
          <w:iCs/>
          <w:color w:val="auto"/>
          <w:sz w:val="22"/>
          <w:szCs w:val="22"/>
          <w:u w:val="single"/>
        </w:rPr>
        <w:t xml:space="preserve"> </w:t>
      </w:r>
      <w:r w:rsidR="00213041" w:rsidRPr="00725B07">
        <w:rPr>
          <w:rFonts w:ascii="Century Schoolbook" w:hAnsi="Century Schoolbook"/>
          <w:i/>
          <w:iCs/>
          <w:color w:val="EE0000"/>
          <w:sz w:val="22"/>
          <w:szCs w:val="22"/>
          <w:u w:val="single"/>
        </w:rPr>
        <w:t>Name of Federal Government Entities</w:t>
      </w:r>
      <w:r w:rsidRPr="00725B07">
        <w:rPr>
          <w:rFonts w:ascii="Century Schoolbook" w:hAnsi="Century Schoolbook"/>
          <w:color w:val="auto"/>
          <w:sz w:val="22"/>
          <w:szCs w:val="22"/>
        </w:rPr>
        <w:t>_________________________.</w:t>
      </w:r>
    </w:p>
    <w:p w14:paraId="011E0835" w14:textId="1DF57C60"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II. The report shall include, for each </w:t>
      </w:r>
      <w:r w:rsidR="006E092F" w:rsidRPr="00725B07">
        <w:rPr>
          <w:rFonts w:ascii="Century Schoolbook" w:hAnsi="Century Schoolbook"/>
          <w:color w:val="auto"/>
          <w:sz w:val="22"/>
          <w:szCs w:val="22"/>
        </w:rPr>
        <w:t>susceptible transformer</w:t>
      </w:r>
      <w:r w:rsidRPr="00725B07">
        <w:rPr>
          <w:rFonts w:ascii="Century Schoolbook" w:hAnsi="Century Schoolbook"/>
          <w:color w:val="auto"/>
          <w:sz w:val="22"/>
          <w:szCs w:val="22"/>
        </w:rPr>
        <w:t>:</w:t>
      </w:r>
    </w:p>
    <w:p w14:paraId="782D853C"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(a) Transformer nameplate information with design </w:t>
      </w:r>
      <w:proofErr w:type="gramStart"/>
      <w:r w:rsidRPr="00725B07">
        <w:rPr>
          <w:rFonts w:ascii="Century Schoolbook" w:hAnsi="Century Schoolbook"/>
          <w:color w:val="auto"/>
          <w:sz w:val="22"/>
          <w:szCs w:val="22"/>
        </w:rPr>
        <w:t>specifications;</w:t>
      </w:r>
      <w:proofErr w:type="gramEnd"/>
    </w:p>
    <w:p w14:paraId="055D408B" w14:textId="392B8054"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(b) Transformer </w:t>
      </w:r>
      <w:proofErr w:type="gramStart"/>
      <w:r w:rsidRPr="00725B07">
        <w:rPr>
          <w:rFonts w:ascii="Century Schoolbook" w:hAnsi="Century Schoolbook"/>
          <w:color w:val="auto"/>
          <w:sz w:val="22"/>
          <w:szCs w:val="22"/>
        </w:rPr>
        <w:t>location;</w:t>
      </w:r>
      <w:proofErr w:type="gramEnd"/>
    </w:p>
    <w:p w14:paraId="6581C92B" w14:textId="140736C1"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(c) Transformer purpose (GSU, </w:t>
      </w:r>
      <w:r w:rsidR="006E092F" w:rsidRPr="00725B07">
        <w:rPr>
          <w:rFonts w:ascii="Century Schoolbook" w:hAnsi="Century Schoolbook"/>
          <w:color w:val="auto"/>
          <w:sz w:val="22"/>
          <w:szCs w:val="22"/>
        </w:rPr>
        <w:t>a</w:t>
      </w:r>
      <w:r w:rsidRPr="00725B07">
        <w:rPr>
          <w:rFonts w:ascii="Century Schoolbook" w:hAnsi="Century Schoolbook"/>
          <w:color w:val="auto"/>
          <w:sz w:val="22"/>
          <w:szCs w:val="22"/>
        </w:rPr>
        <w:t xml:space="preserve">uto, </w:t>
      </w:r>
      <w:r w:rsidR="006E092F" w:rsidRPr="00725B07">
        <w:rPr>
          <w:rFonts w:ascii="Century Schoolbook" w:hAnsi="Century Schoolbook"/>
          <w:color w:val="auto"/>
          <w:sz w:val="22"/>
          <w:szCs w:val="22"/>
        </w:rPr>
        <w:t>s</w:t>
      </w:r>
      <w:r w:rsidRPr="00725B07">
        <w:rPr>
          <w:rFonts w:ascii="Century Schoolbook" w:hAnsi="Century Schoolbook"/>
          <w:color w:val="auto"/>
          <w:sz w:val="22"/>
          <w:szCs w:val="22"/>
        </w:rPr>
        <w:t>tep-down</w:t>
      </w:r>
      <w:r w:rsidR="006E092F" w:rsidRPr="00725B07">
        <w:rPr>
          <w:rFonts w:ascii="Century Schoolbook" w:hAnsi="Century Schoolbook"/>
          <w:color w:val="auto"/>
          <w:sz w:val="22"/>
          <w:szCs w:val="22"/>
        </w:rPr>
        <w:t>, converter</w:t>
      </w:r>
      <w:proofErr w:type="gramStart"/>
      <w:r w:rsidR="006E092F" w:rsidRPr="00725B07">
        <w:rPr>
          <w:rFonts w:ascii="Century Schoolbook" w:hAnsi="Century Schoolbook"/>
          <w:color w:val="auto"/>
          <w:sz w:val="22"/>
          <w:szCs w:val="22"/>
        </w:rPr>
        <w:t>)</w:t>
      </w:r>
      <w:r w:rsidRPr="00725B07">
        <w:rPr>
          <w:rFonts w:ascii="Century Schoolbook" w:hAnsi="Century Schoolbook"/>
          <w:color w:val="auto"/>
          <w:sz w:val="22"/>
          <w:szCs w:val="22"/>
        </w:rPr>
        <w:t>;</w:t>
      </w:r>
      <w:proofErr w:type="gramEnd"/>
    </w:p>
    <w:p w14:paraId="3F0F6B0F" w14:textId="77777777"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(d) Spreadsheet-formatted data and narrative analysis, including maximum GIC in the neutral of each </w:t>
      </w:r>
      <w:proofErr w:type="gramStart"/>
      <w:r w:rsidRPr="00725B07">
        <w:rPr>
          <w:rFonts w:ascii="Century Schoolbook" w:hAnsi="Century Schoolbook"/>
          <w:color w:val="auto"/>
          <w:sz w:val="22"/>
          <w:szCs w:val="22"/>
        </w:rPr>
        <w:t>transformer;</w:t>
      </w:r>
      <w:proofErr w:type="gramEnd"/>
    </w:p>
    <w:p w14:paraId="4D8B02A1" w14:textId="513FBD14"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(e) Recommended solutions to protect the grid against GIC by preventing or reducing the half cycle saturation of </w:t>
      </w:r>
      <w:proofErr w:type="gramStart"/>
      <w:r w:rsidRPr="00725B07">
        <w:rPr>
          <w:rFonts w:ascii="Century Schoolbook" w:hAnsi="Century Schoolbook"/>
          <w:color w:val="auto"/>
          <w:sz w:val="22"/>
          <w:szCs w:val="22"/>
        </w:rPr>
        <w:t>transformers;</w:t>
      </w:r>
      <w:proofErr w:type="gramEnd"/>
    </w:p>
    <w:p w14:paraId="68F0AEB5" w14:textId="2018B2A5"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(f) Total cost to implement GIC protection hardware on </w:t>
      </w:r>
      <w:r w:rsidR="006E092F" w:rsidRPr="00725B07">
        <w:rPr>
          <w:rFonts w:ascii="Century Schoolbook" w:hAnsi="Century Schoolbook"/>
          <w:color w:val="auto"/>
          <w:sz w:val="22"/>
          <w:szCs w:val="22"/>
        </w:rPr>
        <w:t xml:space="preserve">susceptible </w:t>
      </w:r>
      <w:proofErr w:type="gramStart"/>
      <w:r w:rsidR="006E092F" w:rsidRPr="00725B07">
        <w:rPr>
          <w:rFonts w:ascii="Century Schoolbook" w:hAnsi="Century Schoolbook"/>
          <w:color w:val="auto"/>
          <w:sz w:val="22"/>
          <w:szCs w:val="22"/>
        </w:rPr>
        <w:t>transformers</w:t>
      </w:r>
      <w:r w:rsidRPr="00725B07">
        <w:rPr>
          <w:rFonts w:ascii="Century Schoolbook" w:hAnsi="Century Schoolbook"/>
          <w:color w:val="auto"/>
          <w:sz w:val="22"/>
          <w:szCs w:val="22"/>
        </w:rPr>
        <w:t>;</w:t>
      </w:r>
      <w:proofErr w:type="gramEnd"/>
    </w:p>
    <w:p w14:paraId="746B35E2" w14:textId="77777777" w:rsidR="00D14BC4" w:rsidRPr="005A64C3" w:rsidRDefault="00D14BC4" w:rsidP="00D14BC4">
      <w:pPr>
        <w:pStyle w:val="Default"/>
        <w:rPr>
          <w:rFonts w:ascii="Century Schoolbook" w:hAnsi="Century Schoolbook"/>
          <w:color w:val="auto"/>
          <w:sz w:val="22"/>
          <w:szCs w:val="22"/>
        </w:rPr>
      </w:pPr>
      <w:r w:rsidRPr="005A64C3">
        <w:rPr>
          <w:rFonts w:ascii="Century Schoolbook" w:hAnsi="Century Schoolbook"/>
          <w:color w:val="auto"/>
          <w:sz w:val="22"/>
          <w:szCs w:val="22"/>
        </w:rPr>
        <w:t>(g) Priority list of transformers by damage risk and critical infrastructure impact; and</w:t>
      </w:r>
    </w:p>
    <w:p w14:paraId="503A596A" w14:textId="77777777" w:rsidR="008B2534" w:rsidRPr="005A64C3" w:rsidRDefault="008B2534" w:rsidP="008B2534">
      <w:pPr>
        <w:pStyle w:val="Default"/>
        <w:rPr>
          <w:rFonts w:ascii="Century Schoolbook" w:hAnsi="Century Schoolbook"/>
          <w:color w:val="auto"/>
          <w:sz w:val="22"/>
          <w:szCs w:val="22"/>
        </w:rPr>
      </w:pPr>
      <w:r w:rsidRPr="005A64C3">
        <w:rPr>
          <w:rFonts w:ascii="Century Schoolbook" w:hAnsi="Century Schoolbook"/>
          <w:color w:val="auto"/>
          <w:sz w:val="22"/>
          <w:szCs w:val="22"/>
        </w:rPr>
        <w:t>(h) Funding recommendations to protect at-risk transformers, including but not limited to the following potential options:</w:t>
      </w:r>
    </w:p>
    <w:p w14:paraId="698507FB" w14:textId="77777777" w:rsidR="008B2534" w:rsidRPr="005A64C3" w:rsidRDefault="008B2534" w:rsidP="008B2534">
      <w:pPr>
        <w:pStyle w:val="Default"/>
        <w:ind w:firstLine="720"/>
        <w:rPr>
          <w:rFonts w:ascii="Century Schoolbook" w:hAnsi="Century Schoolbook"/>
          <w:color w:val="auto"/>
          <w:sz w:val="22"/>
          <w:szCs w:val="22"/>
        </w:rPr>
      </w:pPr>
      <w:r w:rsidRPr="005A64C3">
        <w:rPr>
          <w:rFonts w:ascii="Century Schoolbook" w:hAnsi="Century Schoolbook"/>
          <w:color w:val="auto"/>
          <w:sz w:val="22"/>
          <w:szCs w:val="22"/>
        </w:rPr>
        <w:t>(1) Government Grants and Direct Funding Programs (such as Grid Resilience Utility and Industry Grants, Grid Modernization Grants, Grid Innovation Program Grants, Formula Grants for Preventing Outages, Building Resilient Infrastructure and Communities (BRIC) Grants, etc.)</w:t>
      </w:r>
    </w:p>
    <w:p w14:paraId="2F90052C" w14:textId="77777777" w:rsidR="008B2534" w:rsidRPr="005A64C3" w:rsidRDefault="008B2534" w:rsidP="008B2534">
      <w:pPr>
        <w:pStyle w:val="Default"/>
        <w:ind w:firstLine="720"/>
        <w:rPr>
          <w:rFonts w:ascii="Century Schoolbook" w:hAnsi="Century Schoolbook"/>
          <w:color w:val="auto"/>
          <w:sz w:val="22"/>
          <w:szCs w:val="22"/>
        </w:rPr>
      </w:pPr>
      <w:r w:rsidRPr="005A64C3">
        <w:rPr>
          <w:rFonts w:ascii="Century Schoolbook" w:hAnsi="Century Schoolbook"/>
          <w:color w:val="auto"/>
          <w:sz w:val="22"/>
          <w:szCs w:val="22"/>
        </w:rPr>
        <w:t>(2) Loans and Loan Guarantees (such as Energy Infrastructure Reinvestment (EIR) Program, Transmission Facilitation Program, etc.)</w:t>
      </w:r>
    </w:p>
    <w:p w14:paraId="43232C6C" w14:textId="77777777" w:rsidR="008B2534" w:rsidRPr="005A64C3" w:rsidRDefault="008B2534" w:rsidP="008B2534">
      <w:pPr>
        <w:pStyle w:val="Default"/>
        <w:ind w:firstLine="720"/>
        <w:rPr>
          <w:rFonts w:ascii="Century Schoolbook" w:hAnsi="Century Schoolbook"/>
          <w:color w:val="auto"/>
          <w:sz w:val="22"/>
          <w:szCs w:val="22"/>
        </w:rPr>
      </w:pPr>
      <w:r w:rsidRPr="005A64C3">
        <w:rPr>
          <w:rFonts w:ascii="Century Schoolbook" w:hAnsi="Century Schoolbook"/>
          <w:color w:val="auto"/>
          <w:sz w:val="22"/>
          <w:szCs w:val="22"/>
        </w:rPr>
        <w:t>(3) Regulatory and Cost Recovery Mechanisms (such as Enhanced Cost Recovery and Performance-Based Ratemaking, etc.)</w:t>
      </w:r>
    </w:p>
    <w:p w14:paraId="376BF0FE" w14:textId="77777777" w:rsidR="008B2534" w:rsidRPr="005A64C3" w:rsidRDefault="008B2534" w:rsidP="008B2534">
      <w:pPr>
        <w:pStyle w:val="Default"/>
        <w:ind w:firstLine="720"/>
        <w:rPr>
          <w:rFonts w:ascii="Century Schoolbook" w:hAnsi="Century Schoolbook"/>
          <w:color w:val="auto"/>
          <w:sz w:val="22"/>
          <w:szCs w:val="22"/>
        </w:rPr>
      </w:pPr>
      <w:r w:rsidRPr="005A64C3">
        <w:rPr>
          <w:rFonts w:ascii="Century Schoolbook" w:hAnsi="Century Schoolbook"/>
          <w:color w:val="auto"/>
          <w:sz w:val="22"/>
          <w:szCs w:val="22"/>
        </w:rPr>
        <w:t>(4) Tariffs and Rebates (such as On-Bill Financing Programs, etc.)</w:t>
      </w:r>
    </w:p>
    <w:p w14:paraId="43091E3C" w14:textId="77777777" w:rsidR="008B2534" w:rsidRPr="005A64C3" w:rsidRDefault="008B2534" w:rsidP="008B2534">
      <w:pPr>
        <w:pStyle w:val="Default"/>
        <w:ind w:firstLine="720"/>
        <w:rPr>
          <w:rFonts w:ascii="Century Schoolbook" w:hAnsi="Century Schoolbook"/>
          <w:color w:val="auto"/>
          <w:sz w:val="22"/>
          <w:szCs w:val="22"/>
        </w:rPr>
      </w:pPr>
      <w:r w:rsidRPr="005A64C3">
        <w:rPr>
          <w:rFonts w:ascii="Century Schoolbook" w:hAnsi="Century Schoolbook"/>
          <w:color w:val="auto"/>
          <w:sz w:val="22"/>
          <w:szCs w:val="22"/>
        </w:rPr>
        <w:t xml:space="preserve">(5) Tax Credits and Direct Pay Incentives </w:t>
      </w:r>
    </w:p>
    <w:p w14:paraId="4DA2F1F1" w14:textId="0CD9F1EA" w:rsidR="00BC07CB" w:rsidRPr="00725B07" w:rsidRDefault="00BC07CB"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III. A public version of </w:t>
      </w:r>
      <w:proofErr w:type="gramStart"/>
      <w:r w:rsidR="00DF2159" w:rsidRPr="00725B07">
        <w:rPr>
          <w:rFonts w:ascii="Century Schoolbook" w:hAnsi="Century Schoolbook"/>
          <w:color w:val="auto"/>
          <w:sz w:val="22"/>
          <w:szCs w:val="22"/>
        </w:rPr>
        <w:t>the Section</w:t>
      </w:r>
      <w:proofErr w:type="gramEnd"/>
      <w:r w:rsidR="00DF2159" w:rsidRPr="00725B07">
        <w:rPr>
          <w:rFonts w:ascii="Century Schoolbook" w:hAnsi="Century Schoolbook"/>
          <w:color w:val="auto"/>
          <w:sz w:val="22"/>
          <w:szCs w:val="22"/>
        </w:rPr>
        <w:t xml:space="preserve"> </w:t>
      </w:r>
      <w:r w:rsidR="00574979" w:rsidRPr="00725B07">
        <w:rPr>
          <w:rFonts w:ascii="Century Schoolbook" w:hAnsi="Century Schoolbook"/>
          <w:color w:val="auto"/>
          <w:sz w:val="22"/>
          <w:szCs w:val="22"/>
        </w:rPr>
        <w:t>5</w:t>
      </w:r>
      <w:r w:rsidR="00DF2159" w:rsidRPr="00725B07">
        <w:rPr>
          <w:rFonts w:ascii="Century Schoolbook" w:hAnsi="Century Schoolbook"/>
          <w:color w:val="auto"/>
          <w:sz w:val="22"/>
          <w:szCs w:val="22"/>
        </w:rPr>
        <w:t xml:space="preserve">. </w:t>
      </w:r>
      <w:r w:rsidRPr="00725B07">
        <w:rPr>
          <w:rFonts w:ascii="Century Schoolbook" w:hAnsi="Century Schoolbook"/>
          <w:color w:val="auto"/>
          <w:sz w:val="22"/>
          <w:szCs w:val="22"/>
        </w:rPr>
        <w:t>report will be submitted to the [</w:t>
      </w:r>
      <w:r w:rsidRPr="00725B07">
        <w:rPr>
          <w:rFonts w:ascii="Century Schoolbook" w:hAnsi="Century Schoolbook"/>
          <w:i/>
          <w:iCs/>
          <w:color w:val="EE0000"/>
          <w:sz w:val="22"/>
          <w:szCs w:val="22"/>
          <w:u w:val="single"/>
        </w:rPr>
        <w:t xml:space="preserve">Name of </w:t>
      </w:r>
      <w:r w:rsidR="00D62649" w:rsidRPr="00725B07">
        <w:rPr>
          <w:rFonts w:ascii="Century Schoolbook" w:hAnsi="Century Schoolbook"/>
          <w:i/>
          <w:iCs/>
          <w:color w:val="EE0000"/>
          <w:sz w:val="22"/>
          <w:szCs w:val="22"/>
          <w:u w:val="single"/>
        </w:rPr>
        <w:t>State</w:t>
      </w:r>
      <w:r w:rsidR="002D4E8A" w:rsidRPr="00725B07">
        <w:rPr>
          <w:rFonts w:ascii="Century Schoolbook" w:hAnsi="Century Schoolbook"/>
          <w:i/>
          <w:iCs/>
          <w:color w:val="EE0000"/>
          <w:sz w:val="22"/>
          <w:szCs w:val="22"/>
          <w:u w:val="single"/>
        </w:rPr>
        <w:t xml:space="preserve"> Government Entity</w:t>
      </w:r>
      <w:r w:rsidR="002D4E8A" w:rsidRPr="00725B07">
        <w:rPr>
          <w:rFonts w:ascii="Century Schoolbook" w:hAnsi="Century Schoolbook"/>
          <w:color w:val="auto"/>
          <w:sz w:val="22"/>
          <w:szCs w:val="22"/>
        </w:rPr>
        <w:t xml:space="preserve">] </w:t>
      </w:r>
      <w:r w:rsidRPr="00725B07">
        <w:rPr>
          <w:rFonts w:ascii="Century Schoolbook" w:hAnsi="Century Schoolbook"/>
          <w:color w:val="auto"/>
          <w:sz w:val="22"/>
          <w:szCs w:val="22"/>
        </w:rPr>
        <w:t>with CEII redacted.</w:t>
      </w:r>
    </w:p>
    <w:p w14:paraId="77C2FCC9" w14:textId="77777777" w:rsidR="00D14BC4" w:rsidRPr="00725B07" w:rsidRDefault="00D14BC4" w:rsidP="00D14BC4">
      <w:pPr>
        <w:pStyle w:val="Default"/>
        <w:rPr>
          <w:rFonts w:ascii="Century Schoolbook" w:hAnsi="Century Schoolbook"/>
          <w:color w:val="auto"/>
          <w:sz w:val="22"/>
          <w:szCs w:val="22"/>
        </w:rPr>
      </w:pPr>
    </w:p>
    <w:p w14:paraId="0E6898DE" w14:textId="1CB709BE" w:rsidR="00D14BC4" w:rsidRPr="00725B07" w:rsidRDefault="00D14BC4"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 xml:space="preserve">SECTION 6. </w:t>
      </w:r>
      <w:r w:rsidR="006E092F" w:rsidRPr="00725B07">
        <w:rPr>
          <w:rFonts w:ascii="Century Schoolbook" w:hAnsi="Century Schoolbook"/>
          <w:color w:val="auto"/>
          <w:sz w:val="22"/>
          <w:szCs w:val="22"/>
        </w:rPr>
        <w:t xml:space="preserve">Confidentiality. </w:t>
      </w:r>
      <w:r w:rsidRPr="00725B07">
        <w:rPr>
          <w:rFonts w:ascii="Century Schoolbook" w:hAnsi="Century Schoolbook"/>
          <w:color w:val="auto"/>
          <w:sz w:val="22"/>
          <w:szCs w:val="22"/>
        </w:rPr>
        <w:t>CEII data</w:t>
      </w:r>
      <w:r w:rsidR="00D923D5" w:rsidRPr="00725B07">
        <w:rPr>
          <w:rFonts w:ascii="Century Schoolbook" w:hAnsi="Century Schoolbook"/>
          <w:color w:val="auto"/>
          <w:sz w:val="22"/>
          <w:szCs w:val="22"/>
        </w:rPr>
        <w:t xml:space="preserve"> </w:t>
      </w:r>
      <w:r w:rsidRPr="00725B07">
        <w:rPr>
          <w:rFonts w:ascii="Century Schoolbook" w:hAnsi="Century Schoolbook"/>
          <w:color w:val="auto"/>
          <w:sz w:val="22"/>
          <w:szCs w:val="22"/>
        </w:rPr>
        <w:t xml:space="preserve">submitted under this act must be handled in accordance with CEII protocols as defined in Section </w:t>
      </w:r>
      <w:r w:rsidR="002D4E8A" w:rsidRPr="00725B07">
        <w:rPr>
          <w:rFonts w:ascii="Century Schoolbook" w:hAnsi="Century Schoolbook"/>
          <w:color w:val="auto"/>
          <w:sz w:val="22"/>
          <w:szCs w:val="22"/>
        </w:rPr>
        <w:t>2</w:t>
      </w:r>
      <w:r w:rsidRPr="00725B07">
        <w:rPr>
          <w:rFonts w:ascii="Century Schoolbook" w:hAnsi="Century Schoolbook"/>
          <w:color w:val="auto"/>
          <w:sz w:val="22"/>
          <w:szCs w:val="22"/>
        </w:rPr>
        <w:t xml:space="preserve">. </w:t>
      </w:r>
      <w:r w:rsidR="00D923D5" w:rsidRPr="00725B07">
        <w:rPr>
          <w:rFonts w:ascii="Century Schoolbook" w:hAnsi="Century Schoolbook"/>
          <w:color w:val="auto"/>
          <w:sz w:val="22"/>
          <w:szCs w:val="22"/>
        </w:rPr>
        <w:t>CEII</w:t>
      </w:r>
      <w:r w:rsidRPr="00725B07">
        <w:rPr>
          <w:rFonts w:ascii="Century Schoolbook" w:hAnsi="Century Schoolbook"/>
          <w:color w:val="auto"/>
          <w:sz w:val="22"/>
          <w:szCs w:val="22"/>
        </w:rPr>
        <w:t xml:space="preserve"> must be redacted from public reports.</w:t>
      </w:r>
    </w:p>
    <w:p w14:paraId="41859DE8" w14:textId="77777777" w:rsidR="00D923D5" w:rsidRPr="00725B07" w:rsidRDefault="00D923D5" w:rsidP="00D14BC4">
      <w:pPr>
        <w:pStyle w:val="Default"/>
        <w:rPr>
          <w:rFonts w:ascii="Century Schoolbook" w:hAnsi="Century Schoolbook"/>
          <w:color w:val="auto"/>
          <w:sz w:val="22"/>
          <w:szCs w:val="22"/>
        </w:rPr>
      </w:pPr>
    </w:p>
    <w:p w14:paraId="4906A7EE" w14:textId="0D6AB01A" w:rsidR="00D923D5" w:rsidRPr="00725B07" w:rsidRDefault="00D923D5" w:rsidP="00D14BC4">
      <w:pPr>
        <w:pStyle w:val="Default"/>
        <w:rPr>
          <w:rFonts w:ascii="Century Schoolbook" w:hAnsi="Century Schoolbook"/>
          <w:color w:val="auto"/>
          <w:sz w:val="22"/>
          <w:szCs w:val="22"/>
        </w:rPr>
      </w:pPr>
      <w:r w:rsidRPr="00725B07">
        <w:rPr>
          <w:rFonts w:ascii="Century Schoolbook" w:hAnsi="Century Schoolbook"/>
          <w:color w:val="auto"/>
          <w:sz w:val="22"/>
          <w:szCs w:val="22"/>
        </w:rPr>
        <w:t>SECTION 7. The [</w:t>
      </w:r>
      <w:r w:rsidR="002D4E8A" w:rsidRPr="00725B07">
        <w:rPr>
          <w:rFonts w:ascii="Century Schoolbook" w:hAnsi="Century Schoolbook"/>
          <w:color w:val="auto"/>
          <w:sz w:val="22"/>
          <w:szCs w:val="22"/>
        </w:rPr>
        <w:t xml:space="preserve">   </w:t>
      </w:r>
      <w:r w:rsidRPr="00725B07">
        <w:rPr>
          <w:rFonts w:ascii="Century Schoolbook" w:hAnsi="Century Schoolbook"/>
          <w:i/>
          <w:iCs/>
          <w:color w:val="EE0000"/>
          <w:sz w:val="22"/>
          <w:szCs w:val="22"/>
          <w:u w:val="single"/>
        </w:rPr>
        <w:t xml:space="preserve">Director of </w:t>
      </w:r>
      <w:r w:rsidR="00574979" w:rsidRPr="00725B07">
        <w:rPr>
          <w:rFonts w:ascii="Century Schoolbook" w:hAnsi="Century Schoolbook"/>
          <w:i/>
          <w:iCs/>
          <w:color w:val="EE0000"/>
          <w:sz w:val="22"/>
          <w:szCs w:val="22"/>
          <w:u w:val="single"/>
        </w:rPr>
        <w:t>State’s</w:t>
      </w:r>
      <w:r w:rsidRPr="00725B07">
        <w:rPr>
          <w:rFonts w:ascii="Century Schoolbook" w:hAnsi="Century Schoolbook"/>
          <w:i/>
          <w:iCs/>
          <w:color w:val="EE0000"/>
          <w:sz w:val="22"/>
          <w:szCs w:val="22"/>
          <w:u w:val="single"/>
        </w:rPr>
        <w:t xml:space="preserve"> Homeland Security</w:t>
      </w:r>
      <w:r w:rsidR="00574979" w:rsidRPr="00725B07">
        <w:rPr>
          <w:rFonts w:ascii="Century Schoolbook" w:hAnsi="Century Schoolbook"/>
          <w:i/>
          <w:iCs/>
          <w:color w:val="EE0000"/>
          <w:sz w:val="22"/>
          <w:szCs w:val="22"/>
          <w:u w:val="single"/>
        </w:rPr>
        <w:t xml:space="preserve"> Agency</w:t>
      </w:r>
      <w:r w:rsidR="002D4E8A" w:rsidRPr="00725B07">
        <w:rPr>
          <w:rFonts w:ascii="Century Schoolbook" w:hAnsi="Century Schoolbook"/>
          <w:i/>
          <w:iCs/>
          <w:color w:val="EE0000"/>
          <w:sz w:val="22"/>
          <w:szCs w:val="22"/>
        </w:rPr>
        <w:t xml:space="preserve"> </w:t>
      </w:r>
      <w:proofErr w:type="gramStart"/>
      <w:r w:rsidR="002D4E8A" w:rsidRPr="00725B07">
        <w:rPr>
          <w:rFonts w:ascii="Century Schoolbook" w:hAnsi="Century Schoolbook"/>
          <w:i/>
          <w:iCs/>
          <w:color w:val="EE0000"/>
          <w:sz w:val="22"/>
          <w:szCs w:val="22"/>
        </w:rPr>
        <w:t xml:space="preserve">  </w:t>
      </w:r>
      <w:r w:rsidRPr="00725B07">
        <w:rPr>
          <w:rFonts w:ascii="Century Schoolbook" w:hAnsi="Century Schoolbook"/>
          <w:color w:val="auto"/>
          <w:sz w:val="22"/>
          <w:szCs w:val="22"/>
        </w:rPr>
        <w:t>]</w:t>
      </w:r>
      <w:proofErr w:type="gramEnd"/>
      <w:r w:rsidRPr="00725B07">
        <w:rPr>
          <w:rFonts w:ascii="Century Schoolbook" w:hAnsi="Century Schoolbook"/>
          <w:color w:val="auto"/>
          <w:sz w:val="22"/>
          <w:szCs w:val="22"/>
        </w:rPr>
        <w:t xml:space="preserve"> is responsible to review the reports and recommendations of the utilities, request further information as</w:t>
      </w:r>
      <w:r w:rsidR="002D4E8A" w:rsidRPr="00725B07">
        <w:rPr>
          <w:rFonts w:ascii="Century Schoolbook" w:hAnsi="Century Schoolbook"/>
          <w:color w:val="auto"/>
          <w:sz w:val="22"/>
          <w:szCs w:val="22"/>
        </w:rPr>
        <w:t xml:space="preserve"> deemed </w:t>
      </w:r>
      <w:r w:rsidRPr="00725B07">
        <w:rPr>
          <w:rFonts w:ascii="Century Schoolbook" w:hAnsi="Century Schoolbook"/>
          <w:color w:val="auto"/>
          <w:sz w:val="22"/>
          <w:szCs w:val="22"/>
        </w:rPr>
        <w:t>necessary, and report to the Committee within [</w:t>
      </w:r>
      <w:r w:rsidR="002D4E8A" w:rsidRPr="00725B07">
        <w:rPr>
          <w:rFonts w:ascii="Century Schoolbook" w:hAnsi="Century Schoolbook"/>
          <w:color w:val="auto"/>
          <w:sz w:val="22"/>
          <w:szCs w:val="22"/>
        </w:rPr>
        <w:t xml:space="preserve">   </w:t>
      </w:r>
      <w:proofErr w:type="gramStart"/>
      <w:r w:rsidRPr="00725B07">
        <w:rPr>
          <w:rFonts w:ascii="Century Schoolbook" w:hAnsi="Century Schoolbook"/>
          <w:i/>
          <w:iCs/>
          <w:color w:val="EE0000"/>
          <w:sz w:val="22"/>
          <w:szCs w:val="22"/>
          <w:u w:val="single"/>
        </w:rPr>
        <w:t>TIMEFRAME</w:t>
      </w:r>
      <w:r w:rsidR="002D4E8A" w:rsidRPr="00725B07">
        <w:rPr>
          <w:rFonts w:ascii="Century Schoolbook" w:hAnsi="Century Schoolbook"/>
          <w:i/>
          <w:iCs/>
          <w:color w:val="auto"/>
          <w:sz w:val="22"/>
          <w:szCs w:val="22"/>
          <w:u w:val="single"/>
        </w:rPr>
        <w:t xml:space="preserve">  </w:t>
      </w:r>
      <w:r w:rsidRPr="00725B07">
        <w:rPr>
          <w:rFonts w:ascii="Century Schoolbook" w:hAnsi="Century Schoolbook"/>
          <w:color w:val="auto"/>
          <w:sz w:val="22"/>
          <w:szCs w:val="22"/>
        </w:rPr>
        <w:t>]</w:t>
      </w:r>
      <w:proofErr w:type="gramEnd"/>
      <w:r w:rsidRPr="00725B07">
        <w:rPr>
          <w:rFonts w:ascii="Century Schoolbook" w:hAnsi="Century Schoolbook"/>
          <w:color w:val="auto"/>
          <w:sz w:val="22"/>
          <w:szCs w:val="22"/>
        </w:rPr>
        <w:t xml:space="preserve"> with any recommendations to protect the state, its inhabitants, and businesses. </w:t>
      </w:r>
    </w:p>
    <w:p w14:paraId="5DBD3B10" w14:textId="77777777" w:rsidR="00D14BC4" w:rsidRPr="00725B07" w:rsidRDefault="00D14BC4" w:rsidP="00D14BC4">
      <w:pPr>
        <w:pStyle w:val="Default"/>
        <w:rPr>
          <w:rFonts w:ascii="Century Schoolbook" w:hAnsi="Century Schoolbook"/>
          <w:color w:val="auto"/>
          <w:sz w:val="22"/>
          <w:szCs w:val="22"/>
        </w:rPr>
      </w:pPr>
    </w:p>
    <w:p w14:paraId="0A91EF69" w14:textId="50F27A9C" w:rsidR="00BC028E" w:rsidRPr="00725B07" w:rsidRDefault="00D14BC4" w:rsidP="00D14BC4">
      <w:pPr>
        <w:rPr>
          <w:sz w:val="22"/>
          <w:szCs w:val="22"/>
        </w:rPr>
      </w:pPr>
      <w:r w:rsidRPr="00725B07">
        <w:rPr>
          <w:rFonts w:ascii="Century Schoolbook" w:hAnsi="Century Schoolbook"/>
          <w:sz w:val="22"/>
          <w:szCs w:val="22"/>
        </w:rPr>
        <w:t xml:space="preserve">SECTION </w:t>
      </w:r>
      <w:r w:rsidR="00D138CE" w:rsidRPr="00725B07">
        <w:rPr>
          <w:rFonts w:ascii="Century Schoolbook" w:hAnsi="Century Schoolbook"/>
          <w:sz w:val="22"/>
          <w:szCs w:val="22"/>
        </w:rPr>
        <w:t>8</w:t>
      </w:r>
      <w:r w:rsidRPr="00725B07">
        <w:rPr>
          <w:rFonts w:ascii="Century Schoolbook" w:hAnsi="Century Schoolbook"/>
          <w:sz w:val="22"/>
          <w:szCs w:val="22"/>
        </w:rPr>
        <w:t>. This act takes effect upon becoming a law, the public welfare requiring it</w:t>
      </w:r>
    </w:p>
    <w:sectPr w:rsidR="00BC028E" w:rsidRPr="00725B07" w:rsidSect="00035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C4"/>
    <w:rsid w:val="00017E30"/>
    <w:rsid w:val="00035536"/>
    <w:rsid w:val="00092C6A"/>
    <w:rsid w:val="000E474A"/>
    <w:rsid w:val="001131C0"/>
    <w:rsid w:val="00167216"/>
    <w:rsid w:val="001C4C33"/>
    <w:rsid w:val="00213041"/>
    <w:rsid w:val="00221633"/>
    <w:rsid w:val="002231EF"/>
    <w:rsid w:val="0023159F"/>
    <w:rsid w:val="002A2817"/>
    <w:rsid w:val="002D4E8A"/>
    <w:rsid w:val="003712C5"/>
    <w:rsid w:val="00457F58"/>
    <w:rsid w:val="004A51C5"/>
    <w:rsid w:val="005304C8"/>
    <w:rsid w:val="005440D6"/>
    <w:rsid w:val="00574979"/>
    <w:rsid w:val="005A64C3"/>
    <w:rsid w:val="0063431F"/>
    <w:rsid w:val="006E092F"/>
    <w:rsid w:val="006E23C7"/>
    <w:rsid w:val="006F648E"/>
    <w:rsid w:val="00725B07"/>
    <w:rsid w:val="00867B39"/>
    <w:rsid w:val="0088257A"/>
    <w:rsid w:val="008B2534"/>
    <w:rsid w:val="008B2AA3"/>
    <w:rsid w:val="008D03B5"/>
    <w:rsid w:val="00A4511F"/>
    <w:rsid w:val="00A66157"/>
    <w:rsid w:val="00A7556D"/>
    <w:rsid w:val="00A96D4D"/>
    <w:rsid w:val="00AC01EB"/>
    <w:rsid w:val="00AC2EDB"/>
    <w:rsid w:val="00AD3296"/>
    <w:rsid w:val="00BA46EE"/>
    <w:rsid w:val="00BC028E"/>
    <w:rsid w:val="00BC07CB"/>
    <w:rsid w:val="00CD2031"/>
    <w:rsid w:val="00D138CE"/>
    <w:rsid w:val="00D14BC4"/>
    <w:rsid w:val="00D62649"/>
    <w:rsid w:val="00D923D5"/>
    <w:rsid w:val="00DA7B82"/>
    <w:rsid w:val="00DC231F"/>
    <w:rsid w:val="00DF1141"/>
    <w:rsid w:val="00DF2159"/>
    <w:rsid w:val="00DF3CE2"/>
    <w:rsid w:val="00E4550B"/>
    <w:rsid w:val="00E97BFB"/>
    <w:rsid w:val="00F57051"/>
    <w:rsid w:val="00FA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E527"/>
  <w15:chartTrackingRefBased/>
  <w15:docId w15:val="{70002D48-773C-DA4C-8F3B-EF24FFDF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C4"/>
  </w:style>
  <w:style w:type="paragraph" w:styleId="Heading1">
    <w:name w:val="heading 1"/>
    <w:basedOn w:val="Normal"/>
    <w:next w:val="Normal"/>
    <w:link w:val="Heading1Char"/>
    <w:uiPriority w:val="9"/>
    <w:qFormat/>
    <w:rsid w:val="00D14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BC4"/>
    <w:rPr>
      <w:rFonts w:eastAsiaTheme="majorEastAsia" w:cstheme="majorBidi"/>
      <w:color w:val="272727" w:themeColor="text1" w:themeTint="D8"/>
    </w:rPr>
  </w:style>
  <w:style w:type="paragraph" w:styleId="Title">
    <w:name w:val="Title"/>
    <w:basedOn w:val="Normal"/>
    <w:next w:val="Normal"/>
    <w:link w:val="TitleChar"/>
    <w:uiPriority w:val="10"/>
    <w:qFormat/>
    <w:rsid w:val="00D14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BC4"/>
    <w:pPr>
      <w:spacing w:before="160"/>
      <w:jc w:val="center"/>
    </w:pPr>
    <w:rPr>
      <w:i/>
      <w:iCs/>
      <w:color w:val="404040" w:themeColor="text1" w:themeTint="BF"/>
    </w:rPr>
  </w:style>
  <w:style w:type="character" w:customStyle="1" w:styleId="QuoteChar">
    <w:name w:val="Quote Char"/>
    <w:basedOn w:val="DefaultParagraphFont"/>
    <w:link w:val="Quote"/>
    <w:uiPriority w:val="29"/>
    <w:rsid w:val="00D14BC4"/>
    <w:rPr>
      <w:i/>
      <w:iCs/>
      <w:color w:val="404040" w:themeColor="text1" w:themeTint="BF"/>
    </w:rPr>
  </w:style>
  <w:style w:type="paragraph" w:styleId="ListParagraph">
    <w:name w:val="List Paragraph"/>
    <w:basedOn w:val="Normal"/>
    <w:uiPriority w:val="34"/>
    <w:qFormat/>
    <w:rsid w:val="00D14BC4"/>
    <w:pPr>
      <w:ind w:left="720"/>
      <w:contextualSpacing/>
    </w:pPr>
  </w:style>
  <w:style w:type="character" w:styleId="IntenseEmphasis">
    <w:name w:val="Intense Emphasis"/>
    <w:basedOn w:val="DefaultParagraphFont"/>
    <w:uiPriority w:val="21"/>
    <w:qFormat/>
    <w:rsid w:val="00D14BC4"/>
    <w:rPr>
      <w:i/>
      <w:iCs/>
      <w:color w:val="0F4761" w:themeColor="accent1" w:themeShade="BF"/>
    </w:rPr>
  </w:style>
  <w:style w:type="paragraph" w:styleId="IntenseQuote">
    <w:name w:val="Intense Quote"/>
    <w:basedOn w:val="Normal"/>
    <w:next w:val="Normal"/>
    <w:link w:val="IntenseQuoteChar"/>
    <w:uiPriority w:val="30"/>
    <w:qFormat/>
    <w:rsid w:val="00D14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BC4"/>
    <w:rPr>
      <w:i/>
      <w:iCs/>
      <w:color w:val="0F4761" w:themeColor="accent1" w:themeShade="BF"/>
    </w:rPr>
  </w:style>
  <w:style w:type="character" w:styleId="IntenseReference">
    <w:name w:val="Intense Reference"/>
    <w:basedOn w:val="DefaultParagraphFont"/>
    <w:uiPriority w:val="32"/>
    <w:qFormat/>
    <w:rsid w:val="00D14BC4"/>
    <w:rPr>
      <w:b/>
      <w:bCs/>
      <w:smallCaps/>
      <w:color w:val="0F4761" w:themeColor="accent1" w:themeShade="BF"/>
      <w:spacing w:val="5"/>
    </w:rPr>
  </w:style>
  <w:style w:type="paragraph" w:customStyle="1" w:styleId="Default">
    <w:name w:val="Default"/>
    <w:rsid w:val="00D14BC4"/>
    <w:pPr>
      <w:autoSpaceDE w:val="0"/>
      <w:autoSpaceDN w:val="0"/>
      <w:adjustRightInd w:val="0"/>
      <w:spacing w:after="0" w:line="240" w:lineRule="auto"/>
    </w:pPr>
    <w:rPr>
      <w:rFonts w:ascii="Arial" w:hAnsi="Arial" w:cs="Arial"/>
      <w:color w:val="000000"/>
      <w:kern w:val="0"/>
    </w:rPr>
  </w:style>
  <w:style w:type="character" w:customStyle="1" w:styleId="csdd5e5f52">
    <w:name w:val="csdd5e5f52"/>
    <w:basedOn w:val="DefaultParagraphFont"/>
    <w:rsid w:val="00D14BC4"/>
  </w:style>
  <w:style w:type="paragraph" w:customStyle="1" w:styleId="csf0a1d375">
    <w:name w:val="csf0a1d375"/>
    <w:basedOn w:val="Normal"/>
    <w:rsid w:val="00D14BC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8D03B5"/>
    <w:pPr>
      <w:spacing w:after="0" w:line="240" w:lineRule="auto"/>
    </w:pPr>
  </w:style>
  <w:style w:type="character" w:styleId="CommentReference">
    <w:name w:val="annotation reference"/>
    <w:basedOn w:val="DefaultParagraphFont"/>
    <w:uiPriority w:val="99"/>
    <w:semiHidden/>
    <w:unhideWhenUsed/>
    <w:rsid w:val="00BC07CB"/>
    <w:rPr>
      <w:sz w:val="16"/>
      <w:szCs w:val="16"/>
    </w:rPr>
  </w:style>
  <w:style w:type="paragraph" w:styleId="CommentText">
    <w:name w:val="annotation text"/>
    <w:basedOn w:val="Normal"/>
    <w:link w:val="CommentTextChar"/>
    <w:uiPriority w:val="99"/>
    <w:unhideWhenUsed/>
    <w:rsid w:val="00BC07CB"/>
    <w:pPr>
      <w:spacing w:line="240" w:lineRule="auto"/>
    </w:pPr>
    <w:rPr>
      <w:sz w:val="20"/>
      <w:szCs w:val="20"/>
    </w:rPr>
  </w:style>
  <w:style w:type="character" w:customStyle="1" w:styleId="CommentTextChar">
    <w:name w:val="Comment Text Char"/>
    <w:basedOn w:val="DefaultParagraphFont"/>
    <w:link w:val="CommentText"/>
    <w:uiPriority w:val="99"/>
    <w:rsid w:val="00BC07CB"/>
    <w:rPr>
      <w:sz w:val="20"/>
      <w:szCs w:val="20"/>
    </w:rPr>
  </w:style>
  <w:style w:type="paragraph" w:styleId="CommentSubject">
    <w:name w:val="annotation subject"/>
    <w:basedOn w:val="CommentText"/>
    <w:next w:val="CommentText"/>
    <w:link w:val="CommentSubjectChar"/>
    <w:uiPriority w:val="99"/>
    <w:semiHidden/>
    <w:unhideWhenUsed/>
    <w:rsid w:val="00BC07CB"/>
    <w:rPr>
      <w:b/>
      <w:bCs/>
    </w:rPr>
  </w:style>
  <w:style w:type="character" w:customStyle="1" w:styleId="CommentSubjectChar">
    <w:name w:val="Comment Subject Char"/>
    <w:basedOn w:val="CommentTextChar"/>
    <w:link w:val="CommentSubject"/>
    <w:uiPriority w:val="99"/>
    <w:semiHidden/>
    <w:rsid w:val="00BC0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1227</Words>
  <Characters>7117</Characters>
  <Application>Microsoft Office Word</Application>
  <DocSecurity>0</DocSecurity>
  <Lines>138</Lines>
  <Paragraphs>54</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Anderson</dc:creator>
  <cp:keywords/>
  <dc:description/>
  <cp:lastModifiedBy>Tommy Waller</cp:lastModifiedBy>
  <cp:revision>10</cp:revision>
  <dcterms:created xsi:type="dcterms:W3CDTF">2026-03-09T23:38:00Z</dcterms:created>
  <dcterms:modified xsi:type="dcterms:W3CDTF">2026-03-12T00:31:00Z</dcterms:modified>
</cp:coreProperties>
</file>