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020AF" w14:textId="77777777" w:rsidR="003B437B" w:rsidRPr="004F5297" w:rsidRDefault="003B437B" w:rsidP="003B437B">
      <w:pPr>
        <w:pStyle w:val="NoSpacing"/>
        <w:rPr>
          <w:rFonts w:ascii="Times New Roman" w:eastAsia="Times New Roman" w:hAnsi="Times New Roman" w:cs="Times New Roman"/>
        </w:rPr>
      </w:pPr>
      <w:r w:rsidRPr="004F5297">
        <w:rPr>
          <w:rFonts w:ascii="Times New Roman" w:eastAsia="Times New Roman" w:hAnsi="Times New Roman" w:cs="Times New Roman"/>
        </w:rPr>
        <w:t>AN ACT requiring utilities and electric grid operators to assess and report the vulnerability of high-voltage transformers to geomagnetic and electromagnetic disturbances, and to recommend mitigation measures to protect the state electric infrastructure.</w:t>
      </w:r>
    </w:p>
    <w:p w14:paraId="6BB2AF24" w14:textId="77777777" w:rsidR="003B437B" w:rsidRPr="004F5297" w:rsidRDefault="003B437B" w:rsidP="003B437B">
      <w:pPr>
        <w:pStyle w:val="NoSpacing"/>
        <w:rPr>
          <w:rFonts w:ascii="Times New Roman" w:eastAsia="Times New Roman" w:hAnsi="Times New Roman" w:cs="Times New Roman"/>
        </w:rPr>
      </w:pPr>
    </w:p>
    <w:p w14:paraId="40F5E28D" w14:textId="77777777" w:rsidR="003B437B" w:rsidRPr="004F5297" w:rsidRDefault="003B437B" w:rsidP="003B437B">
      <w:pPr>
        <w:pStyle w:val="NoSpacing"/>
        <w:rPr>
          <w:rFonts w:ascii="Times New Roman" w:eastAsia="Times New Roman" w:hAnsi="Times New Roman" w:cs="Times New Roman"/>
        </w:rPr>
      </w:pPr>
      <w:r w:rsidRPr="004F5297">
        <w:rPr>
          <w:rFonts w:ascii="Times New Roman" w:eastAsia="Times New Roman" w:hAnsi="Times New Roman" w:cs="Times New Roman"/>
        </w:rPr>
        <w:t>Findings:</w:t>
      </w:r>
    </w:p>
    <w:p w14:paraId="34011969" w14:textId="77777777" w:rsidR="003B437B" w:rsidRPr="004F5297" w:rsidRDefault="003B437B" w:rsidP="003B437B">
      <w:pPr>
        <w:pStyle w:val="NoSpacing"/>
        <w:rPr>
          <w:rFonts w:ascii="Times New Roman" w:eastAsia="Times New Roman" w:hAnsi="Times New Roman" w:cs="Times New Roman"/>
        </w:rPr>
      </w:pPr>
    </w:p>
    <w:p w14:paraId="293890FC" w14:textId="77777777" w:rsidR="003B437B" w:rsidRPr="004F5297" w:rsidRDefault="003B437B" w:rsidP="003B437B">
      <w:pPr>
        <w:pStyle w:val="NoSpacing"/>
        <w:rPr>
          <w:rFonts w:ascii="Times New Roman" w:eastAsia="Times New Roman" w:hAnsi="Times New Roman" w:cs="Times New Roman"/>
        </w:rPr>
      </w:pPr>
      <w:r w:rsidRPr="004F5297">
        <w:rPr>
          <w:rFonts w:ascii="Times New Roman" w:eastAsia="Times New Roman" w:hAnsi="Times New Roman" w:cs="Times New Roman"/>
        </w:rPr>
        <w:t>1.]  America’s electric grid, integral to every aspect of modern life, faces existential threats from solar weather [through coronal mass ejections (CMEs) that cause geomagnetic disturbances (GMDs)] and high altitude nuclear electromagnetic pulse (HEMP), both capable of crippling electric power systems; and</w:t>
      </w:r>
    </w:p>
    <w:p w14:paraId="7A1EE417" w14:textId="77777777" w:rsidR="003B437B" w:rsidRPr="004F5297" w:rsidRDefault="003B437B" w:rsidP="003B437B">
      <w:pPr>
        <w:pStyle w:val="NoSpacing"/>
        <w:rPr>
          <w:rFonts w:ascii="Times New Roman" w:eastAsia="Times New Roman" w:hAnsi="Times New Roman" w:cs="Times New Roman"/>
        </w:rPr>
      </w:pPr>
    </w:p>
    <w:p w14:paraId="0E2150AD" w14:textId="77777777" w:rsidR="003B437B" w:rsidRPr="004F5297" w:rsidRDefault="003B437B" w:rsidP="003B437B">
      <w:pPr>
        <w:pStyle w:val="NoSpacing"/>
        <w:rPr>
          <w:rFonts w:ascii="Times New Roman" w:eastAsia="Times New Roman" w:hAnsi="Times New Roman" w:cs="Times New Roman"/>
        </w:rPr>
      </w:pPr>
      <w:r w:rsidRPr="004F5297">
        <w:rPr>
          <w:rFonts w:ascii="Times New Roman" w:eastAsia="Times New Roman" w:hAnsi="Times New Roman" w:cs="Times New Roman"/>
        </w:rPr>
        <w:t>2.]  The high voltage transformers critical to sustaining the electric grid are vulnerable to geomagnetically induced currents, also known as ground induced currents (GICs), which are induced in the earth by naturally occurring geomagnetic disturbances (GMDs) or the late-time (E3) component of high altitude electromagnetic pulse (HEMP) and enter the electric grid through the ground connected neutral wires of transformers; and</w:t>
      </w:r>
    </w:p>
    <w:p w14:paraId="2F20BC50" w14:textId="77777777" w:rsidR="003B437B" w:rsidRPr="004F5297" w:rsidRDefault="003B437B" w:rsidP="003B437B">
      <w:pPr>
        <w:pStyle w:val="NoSpacing"/>
        <w:rPr>
          <w:rFonts w:ascii="Times New Roman" w:eastAsia="Times New Roman" w:hAnsi="Times New Roman" w:cs="Times New Roman"/>
        </w:rPr>
      </w:pPr>
    </w:p>
    <w:p w14:paraId="15E51D23" w14:textId="77777777" w:rsidR="003B437B" w:rsidRPr="004F5297" w:rsidRDefault="003B437B" w:rsidP="003B437B">
      <w:pPr>
        <w:pStyle w:val="NoSpacing"/>
        <w:rPr>
          <w:rFonts w:ascii="Times New Roman" w:eastAsia="Times New Roman" w:hAnsi="Times New Roman" w:cs="Times New Roman"/>
        </w:rPr>
      </w:pPr>
      <w:r w:rsidRPr="004F5297">
        <w:rPr>
          <w:rFonts w:ascii="Times New Roman" w:eastAsia="Times New Roman" w:hAnsi="Times New Roman" w:cs="Times New Roman"/>
        </w:rPr>
        <w:t xml:space="preserve">3.]  The Extra High Voltage (EHV) transformers (345 kV – 765 kV) are the most vulnerable to GIC per their design (as they half-cycle saturate at very low GIC), are also the hardest to replace, many of them custom made with production lead times as long as 4-6 years, and require massive logistical and transportation challenges during their replacement process even during ideal “blue sky” conditions with a fully functioning grid, economy and society; and </w:t>
      </w:r>
    </w:p>
    <w:p w14:paraId="119B738D" w14:textId="77777777" w:rsidR="003B437B" w:rsidRPr="004F5297" w:rsidRDefault="003B437B" w:rsidP="003B437B">
      <w:pPr>
        <w:pStyle w:val="NoSpacing"/>
        <w:rPr>
          <w:rFonts w:ascii="Times New Roman" w:eastAsia="Times New Roman" w:hAnsi="Times New Roman" w:cs="Times New Roman"/>
        </w:rPr>
      </w:pPr>
    </w:p>
    <w:p w14:paraId="13ACA5AB" w14:textId="77777777" w:rsidR="003B437B" w:rsidRPr="004F5297" w:rsidRDefault="003B437B" w:rsidP="003B437B">
      <w:pPr>
        <w:pStyle w:val="NoSpacing"/>
        <w:rPr>
          <w:rFonts w:ascii="Times New Roman" w:eastAsia="Times New Roman" w:hAnsi="Times New Roman" w:cs="Times New Roman"/>
        </w:rPr>
      </w:pPr>
      <w:r w:rsidRPr="004F5297">
        <w:rPr>
          <w:rFonts w:ascii="Times New Roman" w:eastAsia="Times New Roman" w:hAnsi="Times New Roman" w:cs="Times New Roman"/>
        </w:rPr>
        <w:t xml:space="preserve">4.]  The GIC threat posed to these critical transformers is dependent on numerous factors, including the transformer’s size, design and age, the ground conductivity in the region of the electric grid, and magnetic field produced by GMD or E3 HEMP; and </w:t>
      </w:r>
    </w:p>
    <w:p w14:paraId="615C427F" w14:textId="77777777" w:rsidR="003B437B" w:rsidRPr="004F5297" w:rsidRDefault="003B437B" w:rsidP="003B437B">
      <w:pPr>
        <w:pStyle w:val="NoSpacing"/>
        <w:rPr>
          <w:rFonts w:ascii="Times New Roman" w:eastAsia="Times New Roman" w:hAnsi="Times New Roman" w:cs="Times New Roman"/>
        </w:rPr>
      </w:pPr>
    </w:p>
    <w:p w14:paraId="2B6FF6E0" w14:textId="77777777" w:rsidR="003B437B" w:rsidRPr="004F5297" w:rsidRDefault="003B437B" w:rsidP="003B437B">
      <w:pPr>
        <w:pStyle w:val="NoSpacing"/>
        <w:rPr>
          <w:rFonts w:ascii="Times New Roman" w:eastAsia="Times New Roman" w:hAnsi="Times New Roman" w:cs="Times New Roman"/>
        </w:rPr>
      </w:pPr>
      <w:r w:rsidRPr="004F5297">
        <w:rPr>
          <w:rFonts w:ascii="Times New Roman" w:eastAsia="Times New Roman" w:hAnsi="Times New Roman" w:cs="Times New Roman"/>
        </w:rPr>
        <w:t xml:space="preserve">5.]  In June 1992, the Electric Power Research Institute found that the aging of power transformers increases their susceptibility to GIC due to degraded insulating oil condition and coil condition (see “EPRI TR-100450, 1992”); and </w:t>
      </w:r>
    </w:p>
    <w:p w14:paraId="015EC911" w14:textId="77777777" w:rsidR="003B437B" w:rsidRPr="004F5297" w:rsidRDefault="003B437B" w:rsidP="003B437B">
      <w:pPr>
        <w:pStyle w:val="NoSpacing"/>
        <w:rPr>
          <w:rFonts w:ascii="Times New Roman" w:eastAsia="Times New Roman" w:hAnsi="Times New Roman" w:cs="Times New Roman"/>
        </w:rPr>
      </w:pPr>
    </w:p>
    <w:p w14:paraId="2C5454EA" w14:textId="77777777" w:rsidR="003B437B" w:rsidRPr="004F5297" w:rsidRDefault="003B437B" w:rsidP="003B437B">
      <w:pPr>
        <w:pStyle w:val="NoSpacing"/>
        <w:rPr>
          <w:rFonts w:ascii="Times New Roman" w:eastAsia="Times New Roman" w:hAnsi="Times New Roman" w:cs="Times New Roman"/>
        </w:rPr>
      </w:pPr>
      <w:r w:rsidRPr="004F5297">
        <w:rPr>
          <w:rFonts w:ascii="Times New Roman" w:eastAsia="Times New Roman" w:hAnsi="Times New Roman" w:cs="Times New Roman"/>
        </w:rPr>
        <w:t xml:space="preserve">6.] In January 2021, The National Security Council recommended “that U.S. electrical systems and other critical infrastructure elements can be assessed for disruption and damage susceptibility up to the benchmark HEMP waveforms characterized by peak electric field strengths of … 80 V/km for E3a (blast), and 50 V/km for E3b (heave), respectively,” (See “Final HEMP Memo January 12, 2021 – Department of Energy”); and </w:t>
      </w:r>
    </w:p>
    <w:p w14:paraId="3A4A5047" w14:textId="77777777" w:rsidR="003B437B" w:rsidRPr="004F5297" w:rsidRDefault="003B437B" w:rsidP="003B437B">
      <w:pPr>
        <w:pStyle w:val="NoSpacing"/>
        <w:rPr>
          <w:rFonts w:ascii="Times New Roman" w:eastAsia="Times New Roman" w:hAnsi="Times New Roman" w:cs="Times New Roman"/>
        </w:rPr>
      </w:pPr>
    </w:p>
    <w:p w14:paraId="4FF68CC5" w14:textId="77777777" w:rsidR="003B437B" w:rsidRPr="004F5297" w:rsidRDefault="003B437B" w:rsidP="003B437B">
      <w:pPr>
        <w:pStyle w:val="NoSpacing"/>
        <w:rPr>
          <w:rFonts w:ascii="Times New Roman" w:eastAsia="Times New Roman" w:hAnsi="Times New Roman" w:cs="Times New Roman"/>
        </w:rPr>
      </w:pPr>
      <w:r w:rsidRPr="004F5297">
        <w:rPr>
          <w:rFonts w:ascii="Times New Roman" w:eastAsia="Times New Roman" w:hAnsi="Times New Roman" w:cs="Times New Roman"/>
        </w:rPr>
        <w:t xml:space="preserve">7.]  In May 2025, the International Electrotechnical Commission (IEC) updated its international standard for E3 HEMP to a peak electric field strength environment of 85 V/km (see “IEC 61000-2-9, Edition 2.0 2025-05”); and </w:t>
      </w:r>
    </w:p>
    <w:p w14:paraId="408342F9" w14:textId="77777777" w:rsidR="003B437B" w:rsidRPr="004F5297" w:rsidRDefault="003B437B" w:rsidP="003B437B">
      <w:pPr>
        <w:pStyle w:val="NoSpacing"/>
        <w:rPr>
          <w:rFonts w:ascii="Times New Roman" w:eastAsia="Times New Roman" w:hAnsi="Times New Roman" w:cs="Times New Roman"/>
        </w:rPr>
      </w:pPr>
    </w:p>
    <w:p w14:paraId="06AD2965" w14:textId="77777777" w:rsidR="003B437B" w:rsidRPr="004F5297" w:rsidRDefault="003B437B" w:rsidP="003B437B">
      <w:pPr>
        <w:pStyle w:val="NoSpacing"/>
        <w:rPr>
          <w:rFonts w:ascii="Times New Roman" w:eastAsia="Times New Roman" w:hAnsi="Times New Roman" w:cs="Times New Roman"/>
        </w:rPr>
      </w:pPr>
      <w:r w:rsidRPr="004F5297">
        <w:rPr>
          <w:rFonts w:ascii="Times New Roman" w:eastAsia="Times New Roman" w:hAnsi="Times New Roman" w:cs="Times New Roman"/>
        </w:rPr>
        <w:t xml:space="preserve">8.]  The current standard established by the North America Electric Reliability Corporation (NERC) to protect transformers and the grid from failure due to GIC, fails to require utilities to consider the design type and age of their transformers, establishes a “benchmark” peak electric field of only 8 V/km in Quebec, and utilizes a “scaling factor” to allow utilities to “scale down” per their geomagnetic latitude to consider a peak electric field of ~2 V/km across the center of CONUS and only 0.8 V/km across the southern states (while the GMD threat often decreases with geomagnetic latitude, the E3 HEMP threat is higher at lower geomagnetic latitudes due to its generation mechanism), engendering the real possibility of wide-area GIC-caused blackout with transformer and grid equipment failures (see “NERC TPL-007”); </w:t>
      </w:r>
    </w:p>
    <w:p w14:paraId="3C19C07D" w14:textId="77777777" w:rsidR="003B437B" w:rsidRPr="004F5297" w:rsidRDefault="003B437B" w:rsidP="003B437B">
      <w:pPr>
        <w:pStyle w:val="NoSpacing"/>
        <w:rPr>
          <w:rFonts w:ascii="Times New Roman" w:eastAsia="Times New Roman" w:hAnsi="Times New Roman" w:cs="Times New Roman"/>
        </w:rPr>
      </w:pPr>
    </w:p>
    <w:p w14:paraId="42FA491C" w14:textId="77777777" w:rsidR="003B437B" w:rsidRPr="004F5297" w:rsidRDefault="003B437B" w:rsidP="003B437B">
      <w:pPr>
        <w:pStyle w:val="NoSpacing"/>
        <w:rPr>
          <w:rFonts w:ascii="Times New Roman" w:eastAsia="Times New Roman" w:hAnsi="Times New Roman" w:cs="Times New Roman"/>
        </w:rPr>
      </w:pPr>
      <w:r w:rsidRPr="004F5297">
        <w:rPr>
          <w:rFonts w:ascii="Times New Roman" w:eastAsia="Times New Roman" w:hAnsi="Times New Roman" w:cs="Times New Roman"/>
        </w:rPr>
        <w:t xml:space="preserve">Therefore, </w:t>
      </w:r>
    </w:p>
    <w:p w14:paraId="16D39EE0" w14:textId="77777777" w:rsidR="003B437B" w:rsidRPr="004F5297" w:rsidRDefault="003B437B" w:rsidP="003B437B">
      <w:pPr>
        <w:pStyle w:val="NoSpacing"/>
        <w:rPr>
          <w:rFonts w:ascii="Times New Roman" w:eastAsia="Times New Roman" w:hAnsi="Times New Roman" w:cs="Times New Roman"/>
        </w:rPr>
      </w:pPr>
    </w:p>
    <w:p w14:paraId="4F82B9D6" w14:textId="77777777" w:rsidR="003B437B" w:rsidRPr="004F5297" w:rsidRDefault="003B437B" w:rsidP="003B437B">
      <w:pPr>
        <w:pStyle w:val="NoSpacing"/>
        <w:rPr>
          <w:rFonts w:ascii="Times New Roman" w:eastAsia="Times New Roman" w:hAnsi="Times New Roman" w:cs="Times New Roman"/>
        </w:rPr>
      </w:pPr>
      <w:r w:rsidRPr="004F5297">
        <w:rPr>
          <w:rFonts w:ascii="Times New Roman" w:eastAsia="Times New Roman" w:hAnsi="Times New Roman" w:cs="Times New Roman"/>
        </w:rPr>
        <w:lastRenderedPageBreak/>
        <w:t xml:space="preserve">The State of __ (Insert State </w:t>
      </w:r>
      <w:proofErr w:type="gramStart"/>
      <w:r w:rsidRPr="004F5297">
        <w:rPr>
          <w:rFonts w:ascii="Times New Roman" w:eastAsia="Times New Roman" w:hAnsi="Times New Roman" w:cs="Times New Roman"/>
        </w:rPr>
        <w:t>Name)_</w:t>
      </w:r>
      <w:proofErr w:type="gramEnd"/>
      <w:r w:rsidRPr="004F5297">
        <w:rPr>
          <w:rFonts w:ascii="Times New Roman" w:eastAsia="Times New Roman" w:hAnsi="Times New Roman" w:cs="Times New Roman"/>
        </w:rPr>
        <w:t xml:space="preserve">___hereby establishes the “SAVE [Survey All Vulnerable Electric Transformers Act] Transformers Act”, to be managed by _ (Insert State </w:t>
      </w:r>
      <w:proofErr w:type="gramStart"/>
      <w:r w:rsidRPr="004F5297">
        <w:rPr>
          <w:rFonts w:ascii="Times New Roman" w:eastAsia="Times New Roman" w:hAnsi="Times New Roman" w:cs="Times New Roman"/>
        </w:rPr>
        <w:t>Agency)_</w:t>
      </w:r>
      <w:proofErr w:type="gramEnd"/>
      <w:r w:rsidRPr="004F5297">
        <w:rPr>
          <w:rFonts w:ascii="Times New Roman" w:eastAsia="Times New Roman" w:hAnsi="Times New Roman" w:cs="Times New Roman"/>
        </w:rPr>
        <w:t xml:space="preserve">__. </w:t>
      </w:r>
    </w:p>
    <w:p w14:paraId="65202500" w14:textId="77777777" w:rsidR="003B437B" w:rsidRPr="004F5297" w:rsidRDefault="003B437B" w:rsidP="003B437B">
      <w:pPr>
        <w:pStyle w:val="NoSpacing"/>
        <w:rPr>
          <w:rFonts w:ascii="Times New Roman" w:eastAsia="Times New Roman" w:hAnsi="Times New Roman" w:cs="Times New Roman"/>
        </w:rPr>
      </w:pPr>
    </w:p>
    <w:p w14:paraId="1D385E2C" w14:textId="77777777" w:rsidR="003B437B" w:rsidRPr="004F5297" w:rsidRDefault="003B437B" w:rsidP="003B437B">
      <w:pPr>
        <w:pStyle w:val="NoSpacing"/>
        <w:rPr>
          <w:rFonts w:ascii="Times New Roman" w:eastAsia="Times New Roman" w:hAnsi="Times New Roman" w:cs="Times New Roman"/>
        </w:rPr>
      </w:pPr>
      <w:r w:rsidRPr="004F5297">
        <w:rPr>
          <w:rFonts w:ascii="Times New Roman" w:eastAsia="Times New Roman" w:hAnsi="Times New Roman" w:cs="Times New Roman"/>
        </w:rPr>
        <w:t>Definitions:</w:t>
      </w:r>
    </w:p>
    <w:p w14:paraId="16818A6A" w14:textId="77777777" w:rsidR="003B437B" w:rsidRPr="004F5297" w:rsidRDefault="003B437B" w:rsidP="003B437B">
      <w:pPr>
        <w:pStyle w:val="NoSpacing"/>
        <w:rPr>
          <w:rFonts w:ascii="Times New Roman" w:eastAsia="Times New Roman" w:hAnsi="Times New Roman" w:cs="Times New Roman"/>
        </w:rPr>
      </w:pPr>
    </w:p>
    <w:p w14:paraId="02A7C27A" w14:textId="77777777" w:rsidR="003B437B" w:rsidRPr="004F5297" w:rsidRDefault="003B437B" w:rsidP="003B437B">
      <w:pPr>
        <w:pStyle w:val="NoSpacing"/>
        <w:rPr>
          <w:rFonts w:ascii="Times New Roman" w:eastAsia="Times New Roman" w:hAnsi="Times New Roman" w:cs="Times New Roman"/>
        </w:rPr>
      </w:pPr>
      <w:r w:rsidRPr="004F5297">
        <w:rPr>
          <w:rFonts w:ascii="Times New Roman" w:eastAsia="Times New Roman" w:hAnsi="Times New Roman" w:cs="Times New Roman"/>
        </w:rPr>
        <w:t>1.] Covered entities: entities covered by this act include every electric utility and electric project developer, owner and operator, regardless of ownership or operation by the public or private sector within the state, regardless of whether that utility is subject to the jurisdiction of the North American Electric Reliability Corporation (NERC), and regardless of the regional transmission operators or independent system operators with which it operates.</w:t>
      </w:r>
    </w:p>
    <w:p w14:paraId="78DC7E1C" w14:textId="77777777" w:rsidR="003B437B" w:rsidRPr="004F5297" w:rsidRDefault="003B437B" w:rsidP="003B437B">
      <w:pPr>
        <w:pStyle w:val="NoSpacing"/>
        <w:rPr>
          <w:rFonts w:ascii="Times New Roman" w:eastAsia="Times New Roman" w:hAnsi="Times New Roman" w:cs="Times New Roman"/>
        </w:rPr>
      </w:pPr>
    </w:p>
    <w:p w14:paraId="3DDEF66E" w14:textId="77777777" w:rsidR="003B437B" w:rsidRPr="004F5297" w:rsidRDefault="003B437B" w:rsidP="003B437B">
      <w:pPr>
        <w:pStyle w:val="NoSpacing"/>
        <w:rPr>
          <w:rFonts w:ascii="Times New Roman" w:eastAsia="Times New Roman" w:hAnsi="Times New Roman" w:cs="Times New Roman"/>
        </w:rPr>
      </w:pPr>
      <w:r w:rsidRPr="004F5297">
        <w:rPr>
          <w:rFonts w:ascii="Times New Roman" w:eastAsia="Times New Roman" w:hAnsi="Times New Roman" w:cs="Times New Roman"/>
        </w:rPr>
        <w:t>2.] Covered equipment: includes all power transformers with primary voltage of 100 kV or greater and capacity of 25 MVA or greater and all Generator Step-Up (GSU) transformers with secondary voltage of 100 kV or greater and capacity of 25 MVA or greater.</w:t>
      </w:r>
    </w:p>
    <w:p w14:paraId="2DA0A6EA" w14:textId="77777777" w:rsidR="003B437B" w:rsidRPr="004F5297" w:rsidRDefault="003B437B" w:rsidP="003B437B">
      <w:pPr>
        <w:pStyle w:val="NoSpacing"/>
        <w:rPr>
          <w:rFonts w:ascii="Times New Roman" w:eastAsia="Times New Roman" w:hAnsi="Times New Roman" w:cs="Times New Roman"/>
        </w:rPr>
      </w:pPr>
      <w:r w:rsidRPr="004F5297">
        <w:rPr>
          <w:rFonts w:ascii="Times New Roman" w:eastAsia="Times New Roman" w:hAnsi="Times New Roman" w:cs="Times New Roman"/>
        </w:rPr>
        <w:t>Requirements:</w:t>
      </w:r>
    </w:p>
    <w:p w14:paraId="07302764" w14:textId="77777777" w:rsidR="003B437B" w:rsidRPr="004F5297" w:rsidRDefault="003B437B" w:rsidP="003B437B">
      <w:pPr>
        <w:pStyle w:val="NoSpacing"/>
        <w:rPr>
          <w:rFonts w:ascii="Times New Roman" w:eastAsia="Times New Roman" w:hAnsi="Times New Roman" w:cs="Times New Roman"/>
        </w:rPr>
      </w:pPr>
    </w:p>
    <w:p w14:paraId="5D63ECA3" w14:textId="77777777" w:rsidR="003B437B" w:rsidRPr="004F5297" w:rsidRDefault="003B437B" w:rsidP="003B437B">
      <w:pPr>
        <w:pStyle w:val="NoSpacing"/>
        <w:rPr>
          <w:rFonts w:ascii="Times New Roman" w:eastAsia="Times New Roman" w:hAnsi="Times New Roman" w:cs="Times New Roman"/>
        </w:rPr>
      </w:pPr>
      <w:r w:rsidRPr="004F5297">
        <w:rPr>
          <w:rFonts w:ascii="Times New Roman" w:eastAsia="Times New Roman" w:hAnsi="Times New Roman" w:cs="Times New Roman"/>
        </w:rPr>
        <w:t xml:space="preserve">Every covered entity </w:t>
      </w:r>
      <w:proofErr w:type="gramStart"/>
      <w:r w:rsidRPr="004F5297">
        <w:rPr>
          <w:rFonts w:ascii="Times New Roman" w:eastAsia="Times New Roman" w:hAnsi="Times New Roman" w:cs="Times New Roman"/>
        </w:rPr>
        <w:t>shall by (________(Insert Date)______)</w:t>
      </w:r>
      <w:proofErr w:type="gramEnd"/>
      <w:r w:rsidRPr="004F5297">
        <w:rPr>
          <w:rFonts w:ascii="Times New Roman" w:eastAsia="Times New Roman" w:hAnsi="Times New Roman" w:cs="Times New Roman"/>
        </w:rPr>
        <w:t xml:space="preserve"> conduct a technical assessment survey of all covered equipment within its jurisdiction to determine its vulnerability to geomagnetically induced currents, also known as ground induced currents (GICs), which are induced in the Earth by naturally occurring geomagnetic disturbances (GMDs) or the late-time (E3) component of high altitude electromagnetic pulse (HEMP); and, </w:t>
      </w:r>
    </w:p>
    <w:p w14:paraId="5D7A03BA" w14:textId="77777777" w:rsidR="003B437B" w:rsidRPr="004F5297" w:rsidRDefault="003B437B" w:rsidP="003B437B">
      <w:pPr>
        <w:pStyle w:val="NoSpacing"/>
        <w:rPr>
          <w:rFonts w:ascii="Times New Roman" w:eastAsia="Times New Roman" w:hAnsi="Times New Roman" w:cs="Times New Roman"/>
        </w:rPr>
      </w:pPr>
    </w:p>
    <w:p w14:paraId="2CEDE098" w14:textId="77777777" w:rsidR="003B437B" w:rsidRPr="004F5297" w:rsidRDefault="003B437B" w:rsidP="003B437B">
      <w:pPr>
        <w:pStyle w:val="NoSpacing"/>
        <w:rPr>
          <w:rFonts w:ascii="Times New Roman" w:eastAsia="Times New Roman" w:hAnsi="Times New Roman" w:cs="Times New Roman"/>
        </w:rPr>
      </w:pPr>
      <w:r w:rsidRPr="004F5297">
        <w:rPr>
          <w:rFonts w:ascii="Times New Roman" w:eastAsia="Times New Roman" w:hAnsi="Times New Roman" w:cs="Times New Roman"/>
        </w:rPr>
        <w:t xml:space="preserve">1.] Specifically, covered entities shall use the analytic waveform plotted in Figure A.5 of “IEC 61000-2-9, Edition 2.0 2025-05” in their operating models to determine the susceptibility of their transformers to GICs associated with a peak magnetic field strength environment of 20,000 </w:t>
      </w:r>
      <w:proofErr w:type="spellStart"/>
      <w:r w:rsidRPr="004F5297">
        <w:rPr>
          <w:rFonts w:ascii="Times New Roman" w:eastAsia="Times New Roman" w:hAnsi="Times New Roman" w:cs="Times New Roman"/>
        </w:rPr>
        <w:t>nT</w:t>
      </w:r>
      <w:proofErr w:type="spellEnd"/>
      <w:r w:rsidRPr="004F5297">
        <w:rPr>
          <w:rFonts w:ascii="Times New Roman" w:eastAsia="Times New Roman" w:hAnsi="Times New Roman" w:cs="Times New Roman"/>
        </w:rPr>
        <w:t xml:space="preserve"> for E3 HEMP, which for a typical low conductivity ground conductivity in the United States will produce a peak electric field environment of 85 V/km, based on the recently updated International Electrotechnical Commission (IEC) international standard. (Evaluating the worst-case E3 HEMP threat to high voltage transformers and the grid will also consider severe GMD threats.)</w:t>
      </w:r>
    </w:p>
    <w:p w14:paraId="3CCE01E2" w14:textId="77777777" w:rsidR="003B437B" w:rsidRPr="004F5297" w:rsidRDefault="003B437B" w:rsidP="003B437B">
      <w:pPr>
        <w:pStyle w:val="NoSpacing"/>
        <w:rPr>
          <w:rFonts w:ascii="Times New Roman" w:eastAsia="Times New Roman" w:hAnsi="Times New Roman" w:cs="Times New Roman"/>
        </w:rPr>
      </w:pPr>
    </w:p>
    <w:p w14:paraId="462B0CB3" w14:textId="77777777" w:rsidR="003B437B" w:rsidRPr="004F5297" w:rsidRDefault="003B437B" w:rsidP="003B437B">
      <w:pPr>
        <w:pStyle w:val="NoSpacing"/>
        <w:rPr>
          <w:rFonts w:ascii="Times New Roman" w:eastAsia="Times New Roman" w:hAnsi="Times New Roman" w:cs="Times New Roman"/>
        </w:rPr>
      </w:pPr>
      <w:r w:rsidRPr="004F5297">
        <w:rPr>
          <w:rFonts w:ascii="Times New Roman" w:eastAsia="Times New Roman" w:hAnsi="Times New Roman" w:cs="Times New Roman"/>
        </w:rPr>
        <w:t xml:space="preserve">2.] Covered entities shall undertake GIC modeling under the assumption that their transformers are operating fully loaded at the time when the operating environment experiences the GIC insult utilizing the late-time E3 HEMP waveform in IEC 61000-2-9, Edition 2.0 2025-05. </w:t>
      </w:r>
    </w:p>
    <w:p w14:paraId="7C930172" w14:textId="77777777" w:rsidR="003B437B" w:rsidRPr="004F5297" w:rsidRDefault="003B437B" w:rsidP="003B437B">
      <w:pPr>
        <w:pStyle w:val="NoSpacing"/>
        <w:rPr>
          <w:rFonts w:ascii="Times New Roman" w:eastAsia="Times New Roman" w:hAnsi="Times New Roman" w:cs="Times New Roman"/>
        </w:rPr>
      </w:pPr>
    </w:p>
    <w:p w14:paraId="2EAB6B20" w14:textId="77777777" w:rsidR="003B437B" w:rsidRPr="004F5297" w:rsidRDefault="003B437B" w:rsidP="003B437B">
      <w:pPr>
        <w:pStyle w:val="NoSpacing"/>
        <w:rPr>
          <w:rFonts w:ascii="Times New Roman" w:eastAsia="Times New Roman" w:hAnsi="Times New Roman" w:cs="Times New Roman"/>
        </w:rPr>
      </w:pPr>
      <w:r w:rsidRPr="004F5297">
        <w:rPr>
          <w:rFonts w:ascii="Times New Roman" w:eastAsia="Times New Roman" w:hAnsi="Times New Roman" w:cs="Times New Roman"/>
        </w:rPr>
        <w:t xml:space="preserve">3.] Because the aging of power transformers increases their susceptibility to GIC due to degraded insulating oil condition and coil condition, covered entities shall consider the age of the transformers surveyed and de-rate those transformers according to ANSI/IEEE Standard C57.110 and IEEE Standard C57.91 when analyzing transformer susceptibility. After confirming and considering the age, condition, and loading of each transformer, the peak geoelectric operating environment (e.g. 85 V/km), and the ground conductivity profile, covered entities shall identify which transformers would be susceptible to the following effects: (a) Half-cycle saturation (b) GIC induced harmonics; (c) VAR consumption; and, (d) Generation of hot spots in the core or structural elements, (e) oil or insulation degradation, and report the potential impacts of each variable’s susceptibility to GIC. </w:t>
      </w:r>
    </w:p>
    <w:p w14:paraId="01397615" w14:textId="77777777" w:rsidR="003B437B" w:rsidRPr="004F5297" w:rsidRDefault="003B437B" w:rsidP="003B437B">
      <w:pPr>
        <w:pStyle w:val="NoSpacing"/>
        <w:rPr>
          <w:rFonts w:ascii="Times New Roman" w:eastAsia="Times New Roman" w:hAnsi="Times New Roman" w:cs="Times New Roman"/>
        </w:rPr>
      </w:pPr>
    </w:p>
    <w:p w14:paraId="1473B3BC" w14:textId="77777777" w:rsidR="003B437B" w:rsidRPr="004F5297" w:rsidRDefault="003B437B" w:rsidP="003B437B">
      <w:pPr>
        <w:pStyle w:val="NoSpacing"/>
        <w:rPr>
          <w:rFonts w:ascii="Times New Roman" w:eastAsia="Times New Roman" w:hAnsi="Times New Roman" w:cs="Times New Roman"/>
        </w:rPr>
      </w:pPr>
      <w:r w:rsidRPr="004F5297">
        <w:rPr>
          <w:rFonts w:ascii="Times New Roman" w:eastAsia="Times New Roman" w:hAnsi="Times New Roman" w:cs="Times New Roman"/>
        </w:rPr>
        <w:t>4.] No later than 180 days from the passage of this act, and while utilizing strict operational security for Critical Energy Infrastructure Information (CEII), covered entities shall provide a detailed report to (_Insert Agency__) with copies to the public utility commission, to the governor and appointed chief of homeland security, and to the state legislature.</w:t>
      </w:r>
    </w:p>
    <w:p w14:paraId="35C2FE4D" w14:textId="77777777" w:rsidR="003B437B" w:rsidRPr="004F5297" w:rsidRDefault="003B437B" w:rsidP="003B437B">
      <w:pPr>
        <w:pStyle w:val="NoSpacing"/>
        <w:rPr>
          <w:rFonts w:ascii="Times New Roman" w:eastAsia="Times New Roman" w:hAnsi="Times New Roman" w:cs="Times New Roman"/>
        </w:rPr>
      </w:pPr>
    </w:p>
    <w:p w14:paraId="14A2AE7F" w14:textId="77777777" w:rsidR="003B437B" w:rsidRPr="004F5297" w:rsidRDefault="003B437B" w:rsidP="003B437B">
      <w:pPr>
        <w:pStyle w:val="NoSpacing"/>
        <w:rPr>
          <w:rFonts w:ascii="Times New Roman" w:eastAsia="Times New Roman" w:hAnsi="Times New Roman" w:cs="Times New Roman"/>
        </w:rPr>
      </w:pPr>
      <w:r w:rsidRPr="004F5297">
        <w:rPr>
          <w:rFonts w:ascii="Times New Roman" w:eastAsia="Times New Roman" w:hAnsi="Times New Roman" w:cs="Times New Roman"/>
        </w:rPr>
        <w:t xml:space="preserve">5.] The report shall include, for each susceptible transformer and substation: Transformer brand; transformer place of origin, including nation where manufactured; transformer design specifications, </w:t>
      </w:r>
      <w:r w:rsidRPr="004F5297">
        <w:rPr>
          <w:rFonts w:ascii="Times New Roman" w:eastAsia="Times New Roman" w:hAnsi="Times New Roman" w:cs="Times New Roman"/>
        </w:rPr>
        <w:lastRenderedPageBreak/>
        <w:t>including windings and core configuration, winding impedances, winding DC resistances (specify whether assumed or measured), and phase type (single-phase or 3-phase); transformer capacity in megavolt-amperes (MVA); transformer voltage level in kilovolts (kV); transformer age; transformer site location, redacted for CEII; transformer purpose (e.g., generator step-up, autotransformer, step-down, converter), redacted for CEII; transformer replacement lead time; and transformer replacement cost.</w:t>
      </w:r>
    </w:p>
    <w:p w14:paraId="400D0A1D" w14:textId="77777777" w:rsidR="003B437B" w:rsidRPr="004F5297" w:rsidRDefault="003B437B" w:rsidP="003B437B">
      <w:pPr>
        <w:pStyle w:val="NoSpacing"/>
        <w:rPr>
          <w:rFonts w:ascii="Times New Roman" w:eastAsia="Times New Roman" w:hAnsi="Times New Roman" w:cs="Times New Roman"/>
        </w:rPr>
      </w:pPr>
    </w:p>
    <w:p w14:paraId="4F49DB6B" w14:textId="77777777" w:rsidR="003B437B" w:rsidRPr="004F5297" w:rsidRDefault="003B437B" w:rsidP="003B437B">
      <w:pPr>
        <w:pStyle w:val="NoSpacing"/>
        <w:rPr>
          <w:rFonts w:ascii="Times New Roman" w:eastAsia="Times New Roman" w:hAnsi="Times New Roman" w:cs="Times New Roman"/>
        </w:rPr>
      </w:pPr>
      <w:r w:rsidRPr="004F5297">
        <w:rPr>
          <w:rFonts w:ascii="Times New Roman" w:eastAsia="Times New Roman" w:hAnsi="Times New Roman" w:cs="Times New Roman"/>
        </w:rPr>
        <w:t>6.] In addition to providing the above data in spreadsheet form, covered entities shall consider how to most expeditiously protect their transformers from GIC, based on the totality of the circumstances (design, purpose, age, replacement lead time, etc.).</w:t>
      </w:r>
    </w:p>
    <w:p w14:paraId="5F736C63" w14:textId="77777777" w:rsidR="003B437B" w:rsidRPr="004F5297" w:rsidRDefault="003B437B" w:rsidP="003B437B">
      <w:pPr>
        <w:pStyle w:val="NoSpacing"/>
        <w:rPr>
          <w:rFonts w:ascii="Times New Roman" w:eastAsia="Times New Roman" w:hAnsi="Times New Roman" w:cs="Times New Roman"/>
        </w:rPr>
      </w:pPr>
    </w:p>
    <w:p w14:paraId="6A120DF8" w14:textId="77777777" w:rsidR="003B437B" w:rsidRPr="004F5297" w:rsidRDefault="003B437B" w:rsidP="003B437B">
      <w:pPr>
        <w:pStyle w:val="NoSpacing"/>
        <w:rPr>
          <w:rFonts w:ascii="Times New Roman" w:eastAsia="Times New Roman" w:hAnsi="Times New Roman" w:cs="Times New Roman"/>
        </w:rPr>
      </w:pPr>
      <w:r w:rsidRPr="004F5297">
        <w:rPr>
          <w:rFonts w:ascii="Times New Roman" w:eastAsia="Times New Roman" w:hAnsi="Times New Roman" w:cs="Times New Roman"/>
        </w:rPr>
        <w:t xml:space="preserve">7.] Covered entities shall not consider “operating procedures” such as load shedding and VAR supply as sufficient forms of GIC protection since adverse GIC effects can occur rapidly (may be no warning with E3) and over large regions that overwhelm operational reaction capabilities, and procedures cannot block GIC from entering an operating electric grid.   </w:t>
      </w:r>
    </w:p>
    <w:p w14:paraId="51AED489" w14:textId="77777777" w:rsidR="003B437B" w:rsidRPr="004F5297" w:rsidRDefault="003B437B" w:rsidP="003B437B">
      <w:pPr>
        <w:pStyle w:val="NoSpacing"/>
        <w:rPr>
          <w:rFonts w:ascii="Times New Roman" w:eastAsia="Times New Roman" w:hAnsi="Times New Roman" w:cs="Times New Roman"/>
        </w:rPr>
      </w:pPr>
    </w:p>
    <w:p w14:paraId="3B1C65C2" w14:textId="77777777" w:rsidR="003B437B" w:rsidRPr="004F5297" w:rsidRDefault="003B437B" w:rsidP="003B437B">
      <w:pPr>
        <w:pStyle w:val="NoSpacing"/>
        <w:rPr>
          <w:rFonts w:ascii="Times New Roman" w:eastAsia="Times New Roman" w:hAnsi="Times New Roman" w:cs="Times New Roman"/>
        </w:rPr>
      </w:pPr>
      <w:r w:rsidRPr="004F5297">
        <w:rPr>
          <w:rFonts w:ascii="Times New Roman" w:eastAsia="Times New Roman" w:hAnsi="Times New Roman" w:cs="Times New Roman"/>
        </w:rPr>
        <w:t>8.] The report shall also provide the following: (a) Recommended solutions to protect the grid against GIC by preventing or reducing the half cycle saturation of transformers,  (b) Total cost to implement GIC protection of all vulnerable transformers owned and operated by the covered entity and (c) a priority list of transformers considering individual transformer risk, transformers threat to the remaining grid if unprotected (half-cycle saturation harmonic generation) and associated critical infrastructure/service loss.</w:t>
      </w:r>
    </w:p>
    <w:p w14:paraId="4B78A316" w14:textId="77777777" w:rsidR="003B437B" w:rsidRPr="004F5297" w:rsidRDefault="003B437B" w:rsidP="003B437B">
      <w:pPr>
        <w:pStyle w:val="NoSpacing"/>
        <w:rPr>
          <w:rFonts w:ascii="Times New Roman" w:eastAsia="Times New Roman" w:hAnsi="Times New Roman" w:cs="Times New Roman"/>
        </w:rPr>
      </w:pPr>
    </w:p>
    <w:p w14:paraId="6E155423" w14:textId="77777777" w:rsidR="003B437B" w:rsidRPr="004F5297" w:rsidRDefault="003B437B" w:rsidP="003B437B">
      <w:pPr>
        <w:pStyle w:val="NoSpacing"/>
        <w:rPr>
          <w:rFonts w:ascii="Times New Roman" w:eastAsia="Times New Roman" w:hAnsi="Times New Roman" w:cs="Times New Roman"/>
        </w:rPr>
      </w:pPr>
      <w:r w:rsidRPr="004F5297">
        <w:rPr>
          <w:rFonts w:ascii="Times New Roman" w:eastAsia="Times New Roman" w:hAnsi="Times New Roman" w:cs="Times New Roman"/>
        </w:rPr>
        <w:t xml:space="preserve">9.] As part of this report, covered entities shall also provide their recommendations for funding the deployment of this GIC protection, which can include both government grant opportunities and rate recovery. </w:t>
      </w:r>
    </w:p>
    <w:p w14:paraId="565876D9" w14:textId="77777777" w:rsidR="003B437B" w:rsidRDefault="003B437B" w:rsidP="003B437B">
      <w:pPr>
        <w:pStyle w:val="NoSpacing"/>
        <w:rPr>
          <w:rFonts w:ascii="Times New Roman" w:eastAsia="Times New Roman" w:hAnsi="Times New Roman" w:cs="Times New Roman"/>
        </w:rPr>
      </w:pPr>
    </w:p>
    <w:p w14:paraId="4349B80D" w14:textId="450E72D7" w:rsidR="003B437B" w:rsidRDefault="003B437B" w:rsidP="003B437B">
      <w:pPr>
        <w:pStyle w:val="NoSpacing"/>
        <w:rPr>
          <w:rFonts w:ascii="Times New Roman" w:eastAsia="Times New Roman" w:hAnsi="Times New Roman" w:cs="Times New Roman"/>
        </w:rPr>
      </w:pPr>
      <w:r w:rsidRPr="004F5297">
        <w:rPr>
          <w:rFonts w:ascii="Times New Roman" w:eastAsia="Times New Roman" w:hAnsi="Times New Roman" w:cs="Times New Roman"/>
        </w:rPr>
        <w:t>This act takes effect at _</w:t>
      </w:r>
      <w:proofErr w:type="gramStart"/>
      <w:r w:rsidRPr="004F5297">
        <w:rPr>
          <w:rFonts w:ascii="Times New Roman" w:eastAsia="Times New Roman" w:hAnsi="Times New Roman" w:cs="Times New Roman"/>
        </w:rPr>
        <w:t>_(</w:t>
      </w:r>
      <w:proofErr w:type="gramEnd"/>
      <w:r w:rsidRPr="004F5297">
        <w:rPr>
          <w:rFonts w:ascii="Times New Roman" w:eastAsia="Times New Roman" w:hAnsi="Times New Roman" w:cs="Times New Roman"/>
        </w:rPr>
        <w:t xml:space="preserve">Insert </w:t>
      </w:r>
      <w:proofErr w:type="gramStart"/>
      <w:r w:rsidRPr="004F5297">
        <w:rPr>
          <w:rFonts w:ascii="Times New Roman" w:eastAsia="Times New Roman" w:hAnsi="Times New Roman" w:cs="Times New Roman"/>
        </w:rPr>
        <w:t>Date)_</w:t>
      </w:r>
      <w:proofErr w:type="gramEnd"/>
      <w:r w:rsidRPr="004F5297">
        <w:rPr>
          <w:rFonts w:ascii="Times New Roman" w:eastAsia="Times New Roman" w:hAnsi="Times New Roman" w:cs="Times New Roman"/>
        </w:rPr>
        <w:t>____.</w:t>
      </w:r>
    </w:p>
    <w:p w14:paraId="0BE643A1" w14:textId="5F183542" w:rsidR="00A44822" w:rsidRPr="003B437B" w:rsidRDefault="00A44822" w:rsidP="003B437B"/>
    <w:sectPr w:rsidR="00A44822" w:rsidRPr="003B437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70182" w14:textId="77777777" w:rsidR="0037304A" w:rsidRDefault="0037304A" w:rsidP="00B61D7D">
      <w:pPr>
        <w:spacing w:line="240" w:lineRule="auto"/>
      </w:pPr>
      <w:r>
        <w:separator/>
      </w:r>
    </w:p>
  </w:endnote>
  <w:endnote w:type="continuationSeparator" w:id="0">
    <w:p w14:paraId="6B968F8C" w14:textId="77777777" w:rsidR="0037304A" w:rsidRDefault="0037304A" w:rsidP="00B61D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6EE46" w14:textId="77777777" w:rsidR="0037304A" w:rsidRDefault="0037304A" w:rsidP="00B61D7D">
      <w:pPr>
        <w:spacing w:line="240" w:lineRule="auto"/>
      </w:pPr>
      <w:r>
        <w:separator/>
      </w:r>
    </w:p>
  </w:footnote>
  <w:footnote w:type="continuationSeparator" w:id="0">
    <w:p w14:paraId="2F167A5E" w14:textId="77777777" w:rsidR="0037304A" w:rsidRDefault="0037304A" w:rsidP="00B61D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306B" w14:textId="1E321D4D" w:rsidR="00B61D7D" w:rsidRPr="002E3354" w:rsidRDefault="00B61D7D" w:rsidP="00B61D7D">
    <w:pPr>
      <w:jc w:val="center"/>
      <w:rPr>
        <w:b/>
        <w:bCs/>
      </w:rPr>
    </w:pPr>
    <w:r w:rsidRPr="002E3354">
      <w:rPr>
        <w:b/>
        <w:bCs/>
      </w:rPr>
      <w:t>SAVE Transformers Act</w:t>
    </w:r>
    <w:r>
      <w:rPr>
        <w:b/>
        <w:bCs/>
      </w:rPr>
      <w:t xml:space="preserve"> </w:t>
    </w:r>
    <w:r w:rsidR="003B437B">
      <w:rPr>
        <w:b/>
        <w:bCs/>
      </w:rPr>
      <w:t>– Long Version</w:t>
    </w:r>
  </w:p>
  <w:p w14:paraId="311C7DB1" w14:textId="77777777" w:rsidR="00B61D7D" w:rsidRDefault="00B61D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364"/>
    <w:multiLevelType w:val="hybridMultilevel"/>
    <w:tmpl w:val="B574CD78"/>
    <w:lvl w:ilvl="0" w:tplc="9D706682">
      <w:start w:val="1"/>
      <w:numFmt w:val="upperLetter"/>
      <w:lvlText w:val="%1."/>
      <w:lvlJc w:val="left"/>
      <w:pPr>
        <w:ind w:left="1080" w:hanging="360"/>
      </w:pPr>
      <w:rPr>
        <w:rFonts w:asciiTheme="minorHAnsi" w:eastAsiaTheme="minorHAnsi" w:hAnsiTheme="minorHAnsi" w:cstheme="minorBidi"/>
        <w:b/>
      </w:rPr>
    </w:lvl>
    <w:lvl w:ilvl="1" w:tplc="1A882E58">
      <w:start w:val="1"/>
      <w:numFmt w:val="decimal"/>
      <w:lvlText w:val="%2."/>
      <w:lvlJc w:val="left"/>
      <w:pPr>
        <w:ind w:left="1800" w:hanging="360"/>
      </w:pPr>
      <w:rPr>
        <w:rFonts w:asciiTheme="minorHAnsi" w:eastAsiaTheme="minorHAnsi" w:hAnsiTheme="minorHAnsi" w:cstheme="minorBid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0D5157"/>
    <w:multiLevelType w:val="hybridMultilevel"/>
    <w:tmpl w:val="CC4282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5654C"/>
    <w:multiLevelType w:val="hybridMultilevel"/>
    <w:tmpl w:val="DE223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437A3"/>
    <w:multiLevelType w:val="multilevel"/>
    <w:tmpl w:val="42541A1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0F6297"/>
    <w:multiLevelType w:val="hybridMultilevel"/>
    <w:tmpl w:val="0B24A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FD6F90"/>
    <w:multiLevelType w:val="hybridMultilevel"/>
    <w:tmpl w:val="072C96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212ABD"/>
    <w:multiLevelType w:val="hybridMultilevel"/>
    <w:tmpl w:val="DF123A9E"/>
    <w:lvl w:ilvl="0" w:tplc="600C2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6867096">
    <w:abstractNumId w:val="0"/>
  </w:num>
  <w:num w:numId="2" w16cid:durableId="1658145082">
    <w:abstractNumId w:val="5"/>
  </w:num>
  <w:num w:numId="3" w16cid:durableId="921179414">
    <w:abstractNumId w:val="6"/>
  </w:num>
  <w:num w:numId="4" w16cid:durableId="1959606833">
    <w:abstractNumId w:val="4"/>
  </w:num>
  <w:num w:numId="5" w16cid:durableId="1537500577">
    <w:abstractNumId w:val="2"/>
  </w:num>
  <w:num w:numId="6" w16cid:durableId="1531642581">
    <w:abstractNumId w:val="1"/>
  </w:num>
  <w:num w:numId="7" w16cid:durableId="1029448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F6F"/>
    <w:rsid w:val="000037A4"/>
    <w:rsid w:val="00011F50"/>
    <w:rsid w:val="00021FA3"/>
    <w:rsid w:val="00033FDB"/>
    <w:rsid w:val="00046A17"/>
    <w:rsid w:val="00085B10"/>
    <w:rsid w:val="000D73FD"/>
    <w:rsid w:val="000F2018"/>
    <w:rsid w:val="000F7B89"/>
    <w:rsid w:val="001051E5"/>
    <w:rsid w:val="00120397"/>
    <w:rsid w:val="00174382"/>
    <w:rsid w:val="001762CF"/>
    <w:rsid w:val="001763B4"/>
    <w:rsid w:val="001C4DEB"/>
    <w:rsid w:val="001C6DEB"/>
    <w:rsid w:val="001D0E20"/>
    <w:rsid w:val="001E2523"/>
    <w:rsid w:val="001E26CF"/>
    <w:rsid w:val="001E5648"/>
    <w:rsid w:val="00203A71"/>
    <w:rsid w:val="0020540D"/>
    <w:rsid w:val="0021694D"/>
    <w:rsid w:val="002609CA"/>
    <w:rsid w:val="002A0256"/>
    <w:rsid w:val="002A4CC0"/>
    <w:rsid w:val="002A50AD"/>
    <w:rsid w:val="002B1476"/>
    <w:rsid w:val="002B32A3"/>
    <w:rsid w:val="002E3354"/>
    <w:rsid w:val="002F675C"/>
    <w:rsid w:val="0031470B"/>
    <w:rsid w:val="003212C1"/>
    <w:rsid w:val="00346B06"/>
    <w:rsid w:val="0036309A"/>
    <w:rsid w:val="00364C7C"/>
    <w:rsid w:val="0037304A"/>
    <w:rsid w:val="00380DB0"/>
    <w:rsid w:val="00383B02"/>
    <w:rsid w:val="003A1F89"/>
    <w:rsid w:val="003B437B"/>
    <w:rsid w:val="004074F9"/>
    <w:rsid w:val="00434372"/>
    <w:rsid w:val="00451E7E"/>
    <w:rsid w:val="004C5ECE"/>
    <w:rsid w:val="004D51ED"/>
    <w:rsid w:val="004F0C01"/>
    <w:rsid w:val="004F1B85"/>
    <w:rsid w:val="00506E53"/>
    <w:rsid w:val="00537579"/>
    <w:rsid w:val="00570DD2"/>
    <w:rsid w:val="005714F0"/>
    <w:rsid w:val="005777CE"/>
    <w:rsid w:val="005B7513"/>
    <w:rsid w:val="005D3133"/>
    <w:rsid w:val="005D34AB"/>
    <w:rsid w:val="005D3C4A"/>
    <w:rsid w:val="005D528D"/>
    <w:rsid w:val="005F53E7"/>
    <w:rsid w:val="006049DD"/>
    <w:rsid w:val="00652FA4"/>
    <w:rsid w:val="006B215B"/>
    <w:rsid w:val="006C1283"/>
    <w:rsid w:val="006D51EC"/>
    <w:rsid w:val="006D6148"/>
    <w:rsid w:val="007021A7"/>
    <w:rsid w:val="00730AE2"/>
    <w:rsid w:val="00747AE9"/>
    <w:rsid w:val="00782965"/>
    <w:rsid w:val="007950BE"/>
    <w:rsid w:val="007A011A"/>
    <w:rsid w:val="007A4EC1"/>
    <w:rsid w:val="007B3A0D"/>
    <w:rsid w:val="007C2E7E"/>
    <w:rsid w:val="007F731A"/>
    <w:rsid w:val="007F76CF"/>
    <w:rsid w:val="00877A31"/>
    <w:rsid w:val="00884084"/>
    <w:rsid w:val="008A2969"/>
    <w:rsid w:val="008A7644"/>
    <w:rsid w:val="008B0A6D"/>
    <w:rsid w:val="008C636D"/>
    <w:rsid w:val="008D5985"/>
    <w:rsid w:val="00903A68"/>
    <w:rsid w:val="00951922"/>
    <w:rsid w:val="00983C4B"/>
    <w:rsid w:val="00990307"/>
    <w:rsid w:val="0099352A"/>
    <w:rsid w:val="009E30AA"/>
    <w:rsid w:val="009F5078"/>
    <w:rsid w:val="00A033E6"/>
    <w:rsid w:val="00A05E20"/>
    <w:rsid w:val="00A36905"/>
    <w:rsid w:val="00A44822"/>
    <w:rsid w:val="00A460A9"/>
    <w:rsid w:val="00A4782C"/>
    <w:rsid w:val="00A86F23"/>
    <w:rsid w:val="00A9014D"/>
    <w:rsid w:val="00A924C9"/>
    <w:rsid w:val="00A95871"/>
    <w:rsid w:val="00AB4A4D"/>
    <w:rsid w:val="00AD5043"/>
    <w:rsid w:val="00AE277A"/>
    <w:rsid w:val="00AE3624"/>
    <w:rsid w:val="00B00696"/>
    <w:rsid w:val="00B06F38"/>
    <w:rsid w:val="00B24852"/>
    <w:rsid w:val="00B47960"/>
    <w:rsid w:val="00B5560F"/>
    <w:rsid w:val="00B61D7D"/>
    <w:rsid w:val="00BC3482"/>
    <w:rsid w:val="00BD02D5"/>
    <w:rsid w:val="00BD3F6F"/>
    <w:rsid w:val="00BF122D"/>
    <w:rsid w:val="00C07FE2"/>
    <w:rsid w:val="00C40219"/>
    <w:rsid w:val="00C5641F"/>
    <w:rsid w:val="00CE1581"/>
    <w:rsid w:val="00CF4BB3"/>
    <w:rsid w:val="00CF5BC2"/>
    <w:rsid w:val="00D47297"/>
    <w:rsid w:val="00D5253C"/>
    <w:rsid w:val="00D5479B"/>
    <w:rsid w:val="00D57252"/>
    <w:rsid w:val="00D633F0"/>
    <w:rsid w:val="00D652ED"/>
    <w:rsid w:val="00D80191"/>
    <w:rsid w:val="00D83082"/>
    <w:rsid w:val="00DB345D"/>
    <w:rsid w:val="00DC7E00"/>
    <w:rsid w:val="00DF4358"/>
    <w:rsid w:val="00E27D00"/>
    <w:rsid w:val="00E344E5"/>
    <w:rsid w:val="00E94EE7"/>
    <w:rsid w:val="00EA4001"/>
    <w:rsid w:val="00EA7F15"/>
    <w:rsid w:val="00EB7D4D"/>
    <w:rsid w:val="00F3112E"/>
    <w:rsid w:val="00F31D96"/>
    <w:rsid w:val="00F46325"/>
    <w:rsid w:val="00F47B25"/>
    <w:rsid w:val="00F75A70"/>
    <w:rsid w:val="00F8688D"/>
    <w:rsid w:val="00FA3AE3"/>
    <w:rsid w:val="00FB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7219"/>
  <w15:chartTrackingRefBased/>
  <w15:docId w15:val="{7232F4D5-7017-45B0-AAE3-2C6A34130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F6F"/>
    <w:pPr>
      <w:suppressAutoHyphens/>
      <w:spacing w:after="0" w:line="100" w:lineRule="atLeast"/>
    </w:pPr>
    <w:rPr>
      <w:rFonts w:ascii="Times New Roman" w:eastAsia="SimSun" w:hAnsi="Times New Roman" w:cs="Times New Roman"/>
      <w:color w:val="000000"/>
      <w:sz w:val="24"/>
      <w:szCs w:val="24"/>
      <w:lang w:eastAsia="ar-SA"/>
    </w:rPr>
  </w:style>
  <w:style w:type="paragraph" w:styleId="Heading1">
    <w:name w:val="heading 1"/>
    <w:basedOn w:val="Normal"/>
    <w:next w:val="Normal"/>
    <w:link w:val="Heading1Char"/>
    <w:uiPriority w:val="9"/>
    <w:qFormat/>
    <w:rsid w:val="00BD3F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3F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3F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3F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3F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3F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F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F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F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F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3F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3F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3F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3F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3F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F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F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F6F"/>
    <w:rPr>
      <w:rFonts w:eastAsiaTheme="majorEastAsia" w:cstheme="majorBidi"/>
      <w:color w:val="272727" w:themeColor="text1" w:themeTint="D8"/>
    </w:rPr>
  </w:style>
  <w:style w:type="paragraph" w:styleId="Title">
    <w:name w:val="Title"/>
    <w:basedOn w:val="Normal"/>
    <w:next w:val="Normal"/>
    <w:link w:val="TitleChar"/>
    <w:uiPriority w:val="10"/>
    <w:qFormat/>
    <w:rsid w:val="00BD3F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F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F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F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F6F"/>
    <w:pPr>
      <w:spacing w:before="160"/>
      <w:jc w:val="center"/>
    </w:pPr>
    <w:rPr>
      <w:i/>
      <w:iCs/>
      <w:color w:val="404040" w:themeColor="text1" w:themeTint="BF"/>
    </w:rPr>
  </w:style>
  <w:style w:type="character" w:customStyle="1" w:styleId="QuoteChar">
    <w:name w:val="Quote Char"/>
    <w:basedOn w:val="DefaultParagraphFont"/>
    <w:link w:val="Quote"/>
    <w:uiPriority w:val="29"/>
    <w:rsid w:val="00BD3F6F"/>
    <w:rPr>
      <w:i/>
      <w:iCs/>
      <w:color w:val="404040" w:themeColor="text1" w:themeTint="BF"/>
    </w:rPr>
  </w:style>
  <w:style w:type="paragraph" w:styleId="ListParagraph">
    <w:name w:val="List Paragraph"/>
    <w:basedOn w:val="Normal"/>
    <w:uiPriority w:val="34"/>
    <w:qFormat/>
    <w:rsid w:val="00BD3F6F"/>
    <w:pPr>
      <w:ind w:left="720"/>
      <w:contextualSpacing/>
    </w:pPr>
  </w:style>
  <w:style w:type="character" w:styleId="IntenseEmphasis">
    <w:name w:val="Intense Emphasis"/>
    <w:basedOn w:val="DefaultParagraphFont"/>
    <w:uiPriority w:val="21"/>
    <w:qFormat/>
    <w:rsid w:val="00BD3F6F"/>
    <w:rPr>
      <w:i/>
      <w:iCs/>
      <w:color w:val="2F5496" w:themeColor="accent1" w:themeShade="BF"/>
    </w:rPr>
  </w:style>
  <w:style w:type="paragraph" w:styleId="IntenseQuote">
    <w:name w:val="Intense Quote"/>
    <w:basedOn w:val="Normal"/>
    <w:next w:val="Normal"/>
    <w:link w:val="IntenseQuoteChar"/>
    <w:uiPriority w:val="30"/>
    <w:qFormat/>
    <w:rsid w:val="00BD3F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3F6F"/>
    <w:rPr>
      <w:i/>
      <w:iCs/>
      <w:color w:val="2F5496" w:themeColor="accent1" w:themeShade="BF"/>
    </w:rPr>
  </w:style>
  <w:style w:type="character" w:styleId="IntenseReference">
    <w:name w:val="Intense Reference"/>
    <w:basedOn w:val="DefaultParagraphFont"/>
    <w:uiPriority w:val="32"/>
    <w:qFormat/>
    <w:rsid w:val="00BD3F6F"/>
    <w:rPr>
      <w:b/>
      <w:bCs/>
      <w:smallCaps/>
      <w:color w:val="2F5496" w:themeColor="accent1" w:themeShade="BF"/>
      <w:spacing w:val="5"/>
    </w:rPr>
  </w:style>
  <w:style w:type="paragraph" w:styleId="NoSpacing">
    <w:name w:val="No Spacing"/>
    <w:link w:val="NoSpacingChar"/>
    <w:uiPriority w:val="1"/>
    <w:qFormat/>
    <w:rsid w:val="00A05E20"/>
    <w:pPr>
      <w:spacing w:after="0" w:line="240" w:lineRule="auto"/>
    </w:pPr>
  </w:style>
  <w:style w:type="paragraph" w:styleId="Revision">
    <w:name w:val="Revision"/>
    <w:hidden/>
    <w:uiPriority w:val="99"/>
    <w:semiHidden/>
    <w:rsid w:val="00F31D96"/>
    <w:pPr>
      <w:spacing w:after="0" w:line="240" w:lineRule="auto"/>
    </w:pPr>
    <w:rPr>
      <w:rFonts w:ascii="Times New Roman" w:eastAsia="SimSun" w:hAnsi="Times New Roman" w:cs="Times New Roman"/>
      <w:color w:val="000000"/>
      <w:sz w:val="24"/>
      <w:szCs w:val="24"/>
      <w:lang w:eastAsia="ar-SA"/>
    </w:rPr>
  </w:style>
  <w:style w:type="character" w:styleId="CommentReference">
    <w:name w:val="annotation reference"/>
    <w:basedOn w:val="DefaultParagraphFont"/>
    <w:uiPriority w:val="99"/>
    <w:semiHidden/>
    <w:unhideWhenUsed/>
    <w:rsid w:val="00F31D96"/>
    <w:rPr>
      <w:sz w:val="16"/>
      <w:szCs w:val="16"/>
    </w:rPr>
  </w:style>
  <w:style w:type="paragraph" w:styleId="CommentText">
    <w:name w:val="annotation text"/>
    <w:basedOn w:val="Normal"/>
    <w:link w:val="CommentTextChar"/>
    <w:uiPriority w:val="99"/>
    <w:unhideWhenUsed/>
    <w:rsid w:val="00F31D96"/>
    <w:pPr>
      <w:spacing w:line="240" w:lineRule="auto"/>
    </w:pPr>
    <w:rPr>
      <w:sz w:val="20"/>
      <w:szCs w:val="20"/>
    </w:rPr>
  </w:style>
  <w:style w:type="character" w:customStyle="1" w:styleId="CommentTextChar">
    <w:name w:val="Comment Text Char"/>
    <w:basedOn w:val="DefaultParagraphFont"/>
    <w:link w:val="CommentText"/>
    <w:uiPriority w:val="99"/>
    <w:rsid w:val="00F31D96"/>
    <w:rPr>
      <w:rFonts w:ascii="Times New Roman" w:eastAsia="SimSun" w:hAnsi="Times New Roman" w:cs="Times New Roman"/>
      <w:color w:val="000000"/>
      <w:sz w:val="20"/>
      <w:szCs w:val="20"/>
      <w:lang w:eastAsia="ar-SA"/>
    </w:rPr>
  </w:style>
  <w:style w:type="paragraph" w:styleId="CommentSubject">
    <w:name w:val="annotation subject"/>
    <w:basedOn w:val="CommentText"/>
    <w:next w:val="CommentText"/>
    <w:link w:val="CommentSubjectChar"/>
    <w:uiPriority w:val="99"/>
    <w:semiHidden/>
    <w:unhideWhenUsed/>
    <w:rsid w:val="00F31D96"/>
    <w:rPr>
      <w:b/>
      <w:bCs/>
    </w:rPr>
  </w:style>
  <w:style w:type="character" w:customStyle="1" w:styleId="CommentSubjectChar">
    <w:name w:val="Comment Subject Char"/>
    <w:basedOn w:val="CommentTextChar"/>
    <w:link w:val="CommentSubject"/>
    <w:uiPriority w:val="99"/>
    <w:semiHidden/>
    <w:rsid w:val="00F31D96"/>
    <w:rPr>
      <w:rFonts w:ascii="Times New Roman" w:eastAsia="SimSun" w:hAnsi="Times New Roman" w:cs="Times New Roman"/>
      <w:b/>
      <w:bCs/>
      <w:color w:val="000000"/>
      <w:sz w:val="20"/>
      <w:szCs w:val="20"/>
      <w:lang w:eastAsia="ar-SA"/>
    </w:rPr>
  </w:style>
  <w:style w:type="paragraph" w:styleId="NormalWeb">
    <w:name w:val="Normal (Web)"/>
    <w:basedOn w:val="Normal"/>
    <w:uiPriority w:val="99"/>
    <w:unhideWhenUsed/>
    <w:rsid w:val="008D5985"/>
    <w:pPr>
      <w:suppressAutoHyphens w:val="0"/>
      <w:spacing w:before="100" w:beforeAutospacing="1" w:after="100" w:afterAutospacing="1" w:line="240" w:lineRule="auto"/>
    </w:pPr>
    <w:rPr>
      <w:rFonts w:eastAsia="Times New Roman"/>
      <w:color w:val="auto"/>
      <w:lang w:eastAsia="en-US"/>
    </w:rPr>
  </w:style>
  <w:style w:type="paragraph" w:styleId="Header">
    <w:name w:val="header"/>
    <w:basedOn w:val="Normal"/>
    <w:link w:val="HeaderChar"/>
    <w:uiPriority w:val="99"/>
    <w:unhideWhenUsed/>
    <w:rsid w:val="00B61D7D"/>
    <w:pPr>
      <w:tabs>
        <w:tab w:val="center" w:pos="4680"/>
        <w:tab w:val="right" w:pos="9360"/>
      </w:tabs>
      <w:spacing w:line="240" w:lineRule="auto"/>
    </w:pPr>
  </w:style>
  <w:style w:type="character" w:customStyle="1" w:styleId="HeaderChar">
    <w:name w:val="Header Char"/>
    <w:basedOn w:val="DefaultParagraphFont"/>
    <w:link w:val="Header"/>
    <w:uiPriority w:val="99"/>
    <w:rsid w:val="00B61D7D"/>
    <w:rPr>
      <w:rFonts w:ascii="Times New Roman" w:eastAsia="SimSun" w:hAnsi="Times New Roman" w:cs="Times New Roman"/>
      <w:color w:val="000000"/>
      <w:sz w:val="24"/>
      <w:szCs w:val="24"/>
      <w:lang w:eastAsia="ar-SA"/>
    </w:rPr>
  </w:style>
  <w:style w:type="paragraph" w:styleId="Footer">
    <w:name w:val="footer"/>
    <w:basedOn w:val="Normal"/>
    <w:link w:val="FooterChar"/>
    <w:uiPriority w:val="99"/>
    <w:unhideWhenUsed/>
    <w:rsid w:val="00B61D7D"/>
    <w:pPr>
      <w:tabs>
        <w:tab w:val="center" w:pos="4680"/>
        <w:tab w:val="right" w:pos="9360"/>
      </w:tabs>
      <w:spacing w:line="240" w:lineRule="auto"/>
    </w:pPr>
  </w:style>
  <w:style w:type="character" w:customStyle="1" w:styleId="FooterChar">
    <w:name w:val="Footer Char"/>
    <w:basedOn w:val="DefaultParagraphFont"/>
    <w:link w:val="Footer"/>
    <w:uiPriority w:val="99"/>
    <w:rsid w:val="00B61D7D"/>
    <w:rPr>
      <w:rFonts w:ascii="Times New Roman" w:eastAsia="SimSun" w:hAnsi="Times New Roman" w:cs="Times New Roman"/>
      <w:color w:val="000000"/>
      <w:sz w:val="24"/>
      <w:szCs w:val="24"/>
      <w:lang w:eastAsia="ar-SA"/>
    </w:rPr>
  </w:style>
  <w:style w:type="character" w:customStyle="1" w:styleId="NoSpacingChar">
    <w:name w:val="No Spacing Char"/>
    <w:basedOn w:val="DefaultParagraphFont"/>
    <w:link w:val="NoSpacing"/>
    <w:uiPriority w:val="1"/>
    <w:rsid w:val="00903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29458">
      <w:bodyDiv w:val="1"/>
      <w:marLeft w:val="0"/>
      <w:marRight w:val="0"/>
      <w:marTop w:val="0"/>
      <w:marBottom w:val="0"/>
      <w:divBdr>
        <w:top w:val="none" w:sz="0" w:space="0" w:color="auto"/>
        <w:left w:val="none" w:sz="0" w:space="0" w:color="auto"/>
        <w:bottom w:val="none" w:sz="0" w:space="0" w:color="auto"/>
        <w:right w:val="none" w:sz="0" w:space="0" w:color="auto"/>
      </w:divBdr>
      <w:divsChild>
        <w:div w:id="1530529293">
          <w:marLeft w:val="0"/>
          <w:marRight w:val="0"/>
          <w:marTop w:val="0"/>
          <w:marBottom w:val="0"/>
          <w:divBdr>
            <w:top w:val="none" w:sz="0" w:space="0" w:color="auto"/>
            <w:left w:val="none" w:sz="0" w:space="0" w:color="auto"/>
            <w:bottom w:val="none" w:sz="0" w:space="0" w:color="auto"/>
            <w:right w:val="none" w:sz="0" w:space="0" w:color="auto"/>
          </w:divBdr>
          <w:divsChild>
            <w:div w:id="1643735897">
              <w:marLeft w:val="0"/>
              <w:marRight w:val="0"/>
              <w:marTop w:val="0"/>
              <w:marBottom w:val="0"/>
              <w:divBdr>
                <w:top w:val="none" w:sz="0" w:space="0" w:color="auto"/>
                <w:left w:val="none" w:sz="0" w:space="0" w:color="auto"/>
                <w:bottom w:val="none" w:sz="0" w:space="0" w:color="auto"/>
                <w:right w:val="none" w:sz="0" w:space="0" w:color="auto"/>
              </w:divBdr>
              <w:divsChild>
                <w:div w:id="6946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1357</Words>
  <Characters>7740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Waller</dc:creator>
  <cp:keywords/>
  <dc:description/>
  <cp:lastModifiedBy>Tommy Waller</cp:lastModifiedBy>
  <cp:revision>5</cp:revision>
  <cp:lastPrinted>2025-09-11T22:25:00Z</cp:lastPrinted>
  <dcterms:created xsi:type="dcterms:W3CDTF">2025-10-24T21:20:00Z</dcterms:created>
  <dcterms:modified xsi:type="dcterms:W3CDTF">2025-11-22T20:17:00Z</dcterms:modified>
</cp:coreProperties>
</file>